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63" w:rsidRDefault="00550F63" w:rsidP="0013216C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F63" w:rsidRPr="00550F63" w:rsidRDefault="00550F63" w:rsidP="00550F63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550F63">
        <w:rPr>
          <w:rFonts w:ascii="Times New Roman" w:hAnsi="Times New Roman"/>
          <w:bCs w:val="0"/>
          <w:kern w:val="0"/>
          <w:sz w:val="28"/>
          <w:szCs w:val="28"/>
        </w:rPr>
        <w:t>Российская Федерация</w:t>
      </w:r>
    </w:p>
    <w:p w:rsidR="00550F63" w:rsidRPr="00550F63" w:rsidRDefault="00550F63" w:rsidP="00550F63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550F63">
        <w:rPr>
          <w:rFonts w:ascii="Times New Roman" w:hAnsi="Times New Roman"/>
          <w:bCs w:val="0"/>
          <w:kern w:val="0"/>
          <w:sz w:val="28"/>
          <w:szCs w:val="28"/>
        </w:rPr>
        <w:t>Администрация города Апатиты</w:t>
      </w:r>
    </w:p>
    <w:p w:rsidR="00550F63" w:rsidRPr="00550F63" w:rsidRDefault="00550F63" w:rsidP="00550F63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550F63">
        <w:rPr>
          <w:rFonts w:ascii="Times New Roman" w:hAnsi="Times New Roman"/>
          <w:bCs w:val="0"/>
          <w:kern w:val="0"/>
          <w:sz w:val="28"/>
          <w:szCs w:val="28"/>
        </w:rPr>
        <w:t>Мурманской области</w:t>
      </w:r>
    </w:p>
    <w:p w:rsidR="00550F63" w:rsidRPr="00550F63" w:rsidRDefault="00550F63" w:rsidP="00550F63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550F63">
        <w:rPr>
          <w:rFonts w:ascii="Times New Roman" w:hAnsi="Times New Roman"/>
          <w:bCs w:val="0"/>
          <w:kern w:val="0"/>
          <w:sz w:val="28"/>
          <w:szCs w:val="28"/>
        </w:rPr>
        <w:t>Управление финансов</w:t>
      </w:r>
    </w:p>
    <w:p w:rsidR="00550F63" w:rsidRPr="00550F63" w:rsidRDefault="00550F63" w:rsidP="00550F63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</w:p>
    <w:p w:rsidR="00550F63" w:rsidRPr="00550F63" w:rsidRDefault="00550F63" w:rsidP="00550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F63" w:rsidRPr="00550F63" w:rsidRDefault="00550F63" w:rsidP="00550F63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r w:rsidRPr="00550F63">
        <w:rPr>
          <w:rFonts w:ascii="Times New Roman" w:hAnsi="Times New Roman"/>
          <w:bCs w:val="0"/>
          <w:kern w:val="0"/>
          <w:sz w:val="24"/>
          <w:szCs w:val="24"/>
        </w:rPr>
        <w:t xml:space="preserve">ПРИКАЗ </w:t>
      </w:r>
      <w:r>
        <w:rPr>
          <w:rFonts w:ascii="Times New Roman" w:hAnsi="Times New Roman"/>
          <w:bCs w:val="0"/>
          <w:kern w:val="0"/>
          <w:sz w:val="24"/>
          <w:szCs w:val="24"/>
        </w:rPr>
        <w:t xml:space="preserve">  </w:t>
      </w:r>
      <w:r w:rsidRPr="00550F63">
        <w:rPr>
          <w:rFonts w:ascii="Times New Roman" w:hAnsi="Times New Roman"/>
          <w:bCs w:val="0"/>
          <w:kern w:val="0"/>
          <w:sz w:val="24"/>
          <w:szCs w:val="24"/>
        </w:rPr>
        <w:t xml:space="preserve">№ </w:t>
      </w:r>
      <w:r>
        <w:rPr>
          <w:rFonts w:ascii="Times New Roman" w:hAnsi="Times New Roman"/>
          <w:bCs w:val="0"/>
          <w:kern w:val="0"/>
          <w:sz w:val="24"/>
          <w:szCs w:val="24"/>
        </w:rPr>
        <w:t>49</w:t>
      </w:r>
    </w:p>
    <w:p w:rsidR="00550F63" w:rsidRPr="00550F63" w:rsidRDefault="00550F63" w:rsidP="00550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F63" w:rsidRPr="00550F63" w:rsidRDefault="00550F63" w:rsidP="00550F63">
      <w:pPr>
        <w:rPr>
          <w:rFonts w:ascii="Times New Roman" w:hAnsi="Times New Roman" w:cs="Times New Roman"/>
          <w:b/>
          <w:sz w:val="24"/>
          <w:szCs w:val="24"/>
        </w:rPr>
      </w:pPr>
      <w:r w:rsidRPr="00550F6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27441">
        <w:rPr>
          <w:rFonts w:ascii="Times New Roman" w:hAnsi="Times New Roman" w:cs="Times New Roman"/>
          <w:b/>
          <w:sz w:val="24"/>
          <w:szCs w:val="24"/>
        </w:rPr>
        <w:t>21</w:t>
      </w:r>
      <w:r w:rsidRPr="00550F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550F63">
        <w:rPr>
          <w:rFonts w:ascii="Times New Roman" w:hAnsi="Times New Roman" w:cs="Times New Roman"/>
          <w:b/>
          <w:sz w:val="24"/>
          <w:szCs w:val="24"/>
        </w:rPr>
        <w:t xml:space="preserve"> 2015 года                                                                                  г. Апатиты                                                                                                                             </w:t>
      </w:r>
    </w:p>
    <w:p w:rsidR="00550F63" w:rsidRPr="00550F63" w:rsidRDefault="00550F63" w:rsidP="00550F63">
      <w:pPr>
        <w:pStyle w:val="a5"/>
      </w:pPr>
      <w:r w:rsidRPr="00550F63">
        <w:tab/>
      </w:r>
    </w:p>
    <w:p w:rsidR="00550F63" w:rsidRPr="001C42E2" w:rsidRDefault="00550F63" w:rsidP="00550F63">
      <w:pPr>
        <w:pStyle w:val="a3"/>
        <w:spacing w:before="0" w:beforeAutospacing="0" w:after="0" w:afterAutospacing="0"/>
        <w:jc w:val="center"/>
        <w:rPr>
          <w:rStyle w:val="a4"/>
        </w:rPr>
      </w:pPr>
      <w:r w:rsidRPr="001C42E2">
        <w:rPr>
          <w:b/>
        </w:rPr>
        <w:t xml:space="preserve">Об утверждении </w:t>
      </w:r>
      <w:r w:rsidRPr="001C42E2">
        <w:rPr>
          <w:rStyle w:val="a4"/>
        </w:rPr>
        <w:t>Положения</w:t>
      </w:r>
    </w:p>
    <w:p w:rsidR="00550F63" w:rsidRDefault="00550F63" w:rsidP="00550F63">
      <w:pPr>
        <w:pStyle w:val="ConsPlusNormal"/>
        <w:ind w:firstLine="540"/>
        <w:jc w:val="center"/>
        <w:rPr>
          <w:rStyle w:val="a4"/>
        </w:rPr>
      </w:pPr>
      <w:r w:rsidRPr="001C42E2">
        <w:rPr>
          <w:rStyle w:val="a4"/>
        </w:rPr>
        <w:t>о порядке исчисления, размерах, сроках и (или) об условиях уплаты платежей, я</w:t>
      </w:r>
      <w:r w:rsidRPr="001C42E2">
        <w:rPr>
          <w:b/>
          <w:bCs/>
        </w:rPr>
        <w:t>вляющиеся источниками неналоговых доходов</w:t>
      </w:r>
      <w:r w:rsidRPr="001C42E2">
        <w:rPr>
          <w:rStyle w:val="a4"/>
        </w:rPr>
        <w:t xml:space="preserve">  Управления финансов</w:t>
      </w:r>
      <w:r w:rsidR="00FB3039" w:rsidRPr="001C42E2">
        <w:rPr>
          <w:rStyle w:val="a4"/>
        </w:rPr>
        <w:t xml:space="preserve"> Администрации города Апатиты Мурманской области</w:t>
      </w:r>
    </w:p>
    <w:p w:rsidR="00550F63" w:rsidRDefault="00550F63" w:rsidP="00550F63">
      <w:pPr>
        <w:pStyle w:val="ConsPlusNormal"/>
        <w:ind w:left="567" w:right="567" w:firstLine="709"/>
        <w:jc w:val="both"/>
        <w:rPr>
          <w:rStyle w:val="a4"/>
        </w:rPr>
      </w:pPr>
    </w:p>
    <w:p w:rsidR="00550F63" w:rsidRDefault="00550F63" w:rsidP="00550F63">
      <w:pPr>
        <w:pStyle w:val="ConsPlusTitle"/>
        <w:ind w:right="-6"/>
        <w:jc w:val="both"/>
      </w:pPr>
      <w:r w:rsidRPr="00550F63">
        <w:t xml:space="preserve">         </w:t>
      </w:r>
    </w:p>
    <w:p w:rsidR="00550F63" w:rsidRPr="00550F63" w:rsidRDefault="00550F63" w:rsidP="00832B26">
      <w:pPr>
        <w:pStyle w:val="ConsPlusTitle"/>
        <w:ind w:right="-6"/>
        <w:jc w:val="both"/>
      </w:pPr>
      <w:r>
        <w:tab/>
      </w:r>
      <w:r w:rsidR="00FB3039">
        <w:rPr>
          <w:b w:val="0"/>
        </w:rPr>
        <w:t>На основании</w:t>
      </w:r>
      <w:r w:rsidRPr="00550F63">
        <w:rPr>
          <w:b w:val="0"/>
        </w:rPr>
        <w:t xml:space="preserve"> пункт</w:t>
      </w:r>
      <w:r w:rsidR="00FB3039">
        <w:rPr>
          <w:b w:val="0"/>
        </w:rPr>
        <w:t xml:space="preserve">а </w:t>
      </w:r>
      <w:r w:rsidRPr="00550F63">
        <w:rPr>
          <w:b w:val="0"/>
        </w:rPr>
        <w:t xml:space="preserve"> 6 статьи 41 Бюджетного кодекса Российской Федерации</w:t>
      </w:r>
      <w:r>
        <w:rPr>
          <w:b w:val="0"/>
        </w:rPr>
        <w:t xml:space="preserve"> </w:t>
      </w:r>
      <w:r w:rsidR="00B0112B">
        <w:rPr>
          <w:b w:val="0"/>
        </w:rPr>
        <w:t xml:space="preserve">и в целях обеспечения учёта поступлений, контроля за правильностью исчисления, полнотой и своевременностью уплаты, взыскания неналоговых доходов, зачисляемых в городской бюджет, </w:t>
      </w:r>
      <w:r w:rsidRPr="00550F63">
        <w:t>приказываю</w:t>
      </w:r>
      <w:r w:rsidRPr="00550F63">
        <w:rPr>
          <w:b w:val="0"/>
        </w:rPr>
        <w:t>:</w:t>
      </w:r>
    </w:p>
    <w:p w:rsidR="00550F63" w:rsidRPr="00550F63" w:rsidRDefault="00550F63" w:rsidP="0083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0F6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550F63">
        <w:rPr>
          <w:rFonts w:ascii="Times New Roman" w:hAnsi="Times New Roman" w:cs="Times New Roman"/>
          <w:sz w:val="24"/>
          <w:szCs w:val="24"/>
        </w:rPr>
        <w:t xml:space="preserve"> </w:t>
      </w:r>
      <w:r w:rsidRPr="00550F63">
        <w:rPr>
          <w:rStyle w:val="a4"/>
          <w:rFonts w:ascii="Times New Roman" w:hAnsi="Times New Roman" w:cs="Times New Roman"/>
          <w:b w:val="0"/>
          <w:sz w:val="24"/>
          <w:szCs w:val="24"/>
        </w:rPr>
        <w:t>о порядке исчисления, размерах, сроках и (или) об условиях уплаты платежей, я</w:t>
      </w:r>
      <w:r w:rsidRPr="00550F63">
        <w:rPr>
          <w:rFonts w:ascii="Times New Roman" w:hAnsi="Times New Roman" w:cs="Times New Roman"/>
          <w:bCs/>
          <w:sz w:val="24"/>
          <w:szCs w:val="24"/>
        </w:rPr>
        <w:t>вляющиеся источниками неналоговых доходов</w:t>
      </w:r>
      <w:r w:rsidRPr="00550F6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Управления финансов</w:t>
      </w:r>
      <w:r w:rsidRPr="00550F63">
        <w:rPr>
          <w:rFonts w:ascii="Times New Roman" w:hAnsi="Times New Roman" w:cs="Times New Roman"/>
          <w:sz w:val="24"/>
          <w:szCs w:val="24"/>
        </w:rPr>
        <w:t xml:space="preserve"> </w:t>
      </w:r>
      <w:r w:rsidR="00FB3039" w:rsidRPr="00FB3039">
        <w:rPr>
          <w:rStyle w:val="a4"/>
          <w:rFonts w:ascii="Times New Roman" w:hAnsi="Times New Roman" w:cs="Times New Roman"/>
          <w:b w:val="0"/>
          <w:sz w:val="24"/>
          <w:szCs w:val="24"/>
        </w:rPr>
        <w:t>Администрации города Апатиты Мурманской области</w:t>
      </w:r>
      <w:r w:rsidR="00FB3039" w:rsidRPr="00550F63">
        <w:rPr>
          <w:rFonts w:ascii="Times New Roman" w:hAnsi="Times New Roman" w:cs="Times New Roman"/>
          <w:sz w:val="24"/>
          <w:szCs w:val="24"/>
        </w:rPr>
        <w:t xml:space="preserve"> </w:t>
      </w:r>
      <w:r w:rsidRPr="00550F63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550F63" w:rsidRDefault="00550F63" w:rsidP="0083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0F6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F63">
        <w:rPr>
          <w:rFonts w:ascii="Times New Roman" w:hAnsi="Times New Roman" w:cs="Times New Roman"/>
          <w:sz w:val="24"/>
          <w:szCs w:val="24"/>
        </w:rPr>
        <w:t>Настоящий приказ вступает в силу со дня подписания и распространяется на правоотношения, возникшие с 1 января 2015 года.</w:t>
      </w:r>
    </w:p>
    <w:p w:rsidR="00550F63" w:rsidRPr="00550F63" w:rsidRDefault="00550F63" w:rsidP="0083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550F6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возложить на начальника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50F63">
        <w:rPr>
          <w:rFonts w:ascii="Times New Roman" w:hAnsi="Times New Roman" w:cs="Times New Roman"/>
          <w:sz w:val="24"/>
          <w:szCs w:val="24"/>
        </w:rPr>
        <w:t>тдела учёта, отчётности и контроля бюджетных средств Тябину В.А.</w:t>
      </w:r>
    </w:p>
    <w:p w:rsidR="00550F63" w:rsidRPr="00550F63" w:rsidRDefault="00550F63" w:rsidP="00550F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0F63" w:rsidRPr="00550F63" w:rsidRDefault="00550F63" w:rsidP="00550F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0F63" w:rsidRPr="00550F63" w:rsidRDefault="00550F63" w:rsidP="00550F63">
      <w:pPr>
        <w:rPr>
          <w:rFonts w:ascii="Times New Roman" w:hAnsi="Times New Roman" w:cs="Times New Roman"/>
          <w:sz w:val="24"/>
          <w:szCs w:val="24"/>
        </w:rPr>
      </w:pPr>
      <w:r w:rsidRPr="00550F63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C42E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50F63">
        <w:rPr>
          <w:rFonts w:ascii="Times New Roman" w:hAnsi="Times New Roman" w:cs="Times New Roman"/>
          <w:b/>
          <w:sz w:val="24"/>
          <w:szCs w:val="24"/>
        </w:rPr>
        <w:t>Л.В.Савина</w:t>
      </w:r>
      <w:r w:rsidRPr="00550F63">
        <w:rPr>
          <w:rFonts w:ascii="Times New Roman" w:hAnsi="Times New Roman" w:cs="Times New Roman"/>
          <w:sz w:val="24"/>
          <w:szCs w:val="24"/>
        </w:rPr>
        <w:t xml:space="preserve">     </w:t>
      </w:r>
      <w:r w:rsidRPr="00550F6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50F63" w:rsidRPr="00550F63" w:rsidRDefault="00550F63" w:rsidP="00550F63">
      <w:pPr>
        <w:rPr>
          <w:rFonts w:ascii="Times New Roman" w:hAnsi="Times New Roman" w:cs="Times New Roman"/>
          <w:sz w:val="24"/>
          <w:szCs w:val="24"/>
        </w:rPr>
      </w:pPr>
    </w:p>
    <w:p w:rsidR="00550F63" w:rsidRDefault="00550F63" w:rsidP="0013216C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F63" w:rsidRDefault="00550F63" w:rsidP="0013216C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F63" w:rsidRDefault="00550F63" w:rsidP="0013216C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F63" w:rsidRDefault="00550F63" w:rsidP="0013216C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F63" w:rsidRDefault="00550F63" w:rsidP="0013216C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F63" w:rsidRDefault="00550F63" w:rsidP="0013216C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F63" w:rsidRDefault="00550F63" w:rsidP="0013216C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F63" w:rsidRDefault="00550F63" w:rsidP="0013216C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F63" w:rsidRDefault="00550F63" w:rsidP="0013216C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F63" w:rsidRDefault="00550F63" w:rsidP="0013216C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F63" w:rsidRDefault="00550F63" w:rsidP="0013216C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F63" w:rsidRDefault="00550F63" w:rsidP="0013216C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580" w:rsidRDefault="00B0112B" w:rsidP="00832B26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13216C" w:rsidRPr="00853814">
        <w:rPr>
          <w:rFonts w:ascii="Times New Roman" w:hAnsi="Times New Roman" w:cs="Times New Roman"/>
          <w:sz w:val="24"/>
          <w:szCs w:val="24"/>
        </w:rPr>
        <w:t>тверждено</w:t>
      </w:r>
    </w:p>
    <w:p w:rsidR="008C5955" w:rsidRDefault="00172580" w:rsidP="00832B26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C42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3216C" w:rsidRPr="00853814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55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1C42E2">
        <w:rPr>
          <w:rFonts w:ascii="Times New Roman" w:hAnsi="Times New Roman" w:cs="Times New Roman"/>
          <w:sz w:val="24"/>
          <w:szCs w:val="24"/>
        </w:rPr>
        <w:t>финансов</w:t>
      </w:r>
    </w:p>
    <w:p w:rsidR="008C5955" w:rsidRDefault="006177ED" w:rsidP="00832B26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C42E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Администрации города Апатиты</w:t>
      </w:r>
    </w:p>
    <w:p w:rsidR="001C42E2" w:rsidRDefault="001C42E2" w:rsidP="00832B26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Мурманской области</w:t>
      </w:r>
    </w:p>
    <w:p w:rsidR="0013216C" w:rsidRPr="00853814" w:rsidRDefault="006177ED" w:rsidP="00832B26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137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C5955">
        <w:rPr>
          <w:rFonts w:ascii="Times New Roman" w:hAnsi="Times New Roman" w:cs="Times New Roman"/>
          <w:sz w:val="24"/>
          <w:szCs w:val="24"/>
        </w:rPr>
        <w:t>о</w:t>
      </w:r>
      <w:r w:rsidR="0013216C" w:rsidRPr="00853814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B2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13216C" w:rsidRPr="00853814">
        <w:rPr>
          <w:rFonts w:ascii="Times New Roman" w:hAnsi="Times New Roman" w:cs="Times New Roman"/>
          <w:sz w:val="24"/>
          <w:szCs w:val="24"/>
        </w:rPr>
        <w:t>2015</w:t>
      </w:r>
      <w:r w:rsidR="00C137C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216C" w:rsidRPr="0085381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F12C23" w:rsidRPr="00853814" w:rsidRDefault="00F12C23" w:rsidP="00832B26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93BE3" w:rsidRPr="00853814" w:rsidRDefault="00493BE3" w:rsidP="00832B26">
      <w:pPr>
        <w:pStyle w:val="a3"/>
        <w:spacing w:before="0" w:beforeAutospacing="0" w:after="0" w:afterAutospacing="0"/>
        <w:jc w:val="center"/>
        <w:rPr>
          <w:rStyle w:val="a4"/>
        </w:rPr>
      </w:pPr>
      <w:r w:rsidRPr="00853814">
        <w:rPr>
          <w:rStyle w:val="a4"/>
        </w:rPr>
        <w:t>Положение</w:t>
      </w:r>
    </w:p>
    <w:p w:rsidR="00853814" w:rsidRDefault="00C361E9" w:rsidP="00832B26">
      <w:pPr>
        <w:pStyle w:val="ConsPlusNormal"/>
        <w:ind w:firstLine="540"/>
        <w:jc w:val="center"/>
        <w:rPr>
          <w:rStyle w:val="a4"/>
        </w:rPr>
      </w:pPr>
      <w:r w:rsidRPr="00853814">
        <w:rPr>
          <w:rStyle w:val="a4"/>
        </w:rPr>
        <w:t>о порядке исчисления, разме</w:t>
      </w:r>
      <w:r w:rsidR="0097635F" w:rsidRPr="00853814">
        <w:rPr>
          <w:rStyle w:val="a4"/>
        </w:rPr>
        <w:t>рах, сроках и (или) об условиях</w:t>
      </w:r>
      <w:r w:rsidRPr="00853814">
        <w:rPr>
          <w:rStyle w:val="a4"/>
        </w:rPr>
        <w:t xml:space="preserve"> уплаты платеже</w:t>
      </w:r>
      <w:r w:rsidR="00853814">
        <w:rPr>
          <w:rStyle w:val="a4"/>
        </w:rPr>
        <w:t>й, я</w:t>
      </w:r>
      <w:r w:rsidR="00853814" w:rsidRPr="00853814">
        <w:rPr>
          <w:b/>
          <w:bCs/>
        </w:rPr>
        <w:t>вляющиеся источниками неналоговых доходов</w:t>
      </w:r>
      <w:r w:rsidR="00853814">
        <w:rPr>
          <w:rStyle w:val="a4"/>
        </w:rPr>
        <w:t xml:space="preserve">  Управления финансов</w:t>
      </w:r>
      <w:r w:rsidR="00FB3039">
        <w:rPr>
          <w:rStyle w:val="a4"/>
        </w:rPr>
        <w:t xml:space="preserve"> Администрации города Апатиты Мурманской области</w:t>
      </w:r>
    </w:p>
    <w:p w:rsidR="00B779F4" w:rsidRDefault="00B779F4" w:rsidP="00832B26">
      <w:pPr>
        <w:pStyle w:val="ConsPlusNormal"/>
        <w:ind w:left="567" w:right="567" w:firstLine="709"/>
        <w:jc w:val="both"/>
        <w:rPr>
          <w:rStyle w:val="a4"/>
        </w:rPr>
      </w:pPr>
    </w:p>
    <w:p w:rsidR="0097635F" w:rsidRDefault="00C361E9" w:rsidP="00832B26">
      <w:pPr>
        <w:pStyle w:val="ConsPlusNormal"/>
        <w:ind w:firstLine="709"/>
        <w:jc w:val="both"/>
      </w:pPr>
      <w:r w:rsidRPr="00853814">
        <w:t xml:space="preserve">Настоящее Положение разработано в соответствии с пунктом 6 статьи 41 </w:t>
      </w:r>
      <w:r w:rsidR="0097635F" w:rsidRPr="00853814">
        <w:t>Б</w:t>
      </w:r>
      <w:r w:rsidRPr="00853814">
        <w:t>юджетного кодекса Российской Ф</w:t>
      </w:r>
      <w:r w:rsidR="00AF3453" w:rsidRPr="00853814">
        <w:t>едерации и определяет порядок ис</w:t>
      </w:r>
      <w:r w:rsidRPr="00853814">
        <w:t>числения, размер, сроки и (или) условия уплаты неналоговых доходов</w:t>
      </w:r>
      <w:r w:rsidR="00853814">
        <w:t>, я</w:t>
      </w:r>
      <w:r w:rsidR="00853814" w:rsidRPr="007F6781">
        <w:t>вляющиеся источниками доходов Управления финансов Администрации города Апатиты Мурманской области (далее - Управление финансов).</w:t>
      </w:r>
      <w:r w:rsidRPr="00853814">
        <w:t xml:space="preserve"> </w:t>
      </w:r>
    </w:p>
    <w:p w:rsidR="00B779F4" w:rsidRPr="00853814" w:rsidRDefault="00B779F4" w:rsidP="00832B26">
      <w:pPr>
        <w:pStyle w:val="ConsPlusNormal"/>
        <w:ind w:firstLine="709"/>
        <w:jc w:val="both"/>
      </w:pPr>
    </w:p>
    <w:p w:rsidR="00AF3453" w:rsidRDefault="00910BB3" w:rsidP="00832B26">
      <w:pPr>
        <w:pStyle w:val="a3"/>
        <w:spacing w:before="0" w:beforeAutospacing="0" w:after="0" w:afterAutospacing="0"/>
        <w:ind w:left="360"/>
        <w:jc w:val="center"/>
        <w:rPr>
          <w:rStyle w:val="a4"/>
        </w:rPr>
      </w:pPr>
      <w:r w:rsidRPr="00910BB3">
        <w:rPr>
          <w:rStyle w:val="a4"/>
          <w:bCs w:val="0"/>
        </w:rPr>
        <w:t>1.</w:t>
      </w:r>
      <w:r>
        <w:rPr>
          <w:rStyle w:val="a4"/>
        </w:rPr>
        <w:t xml:space="preserve"> Общие положения</w:t>
      </w:r>
    </w:p>
    <w:p w:rsidR="00B660D5" w:rsidRDefault="00B660D5" w:rsidP="00B660D5">
      <w:pPr>
        <w:pStyle w:val="a3"/>
        <w:spacing w:before="0" w:beforeAutospacing="0" w:after="0" w:afterAutospacing="0"/>
        <w:ind w:left="360" w:firstLine="349"/>
        <w:jc w:val="center"/>
        <w:rPr>
          <w:rStyle w:val="a4"/>
        </w:rPr>
      </w:pPr>
    </w:p>
    <w:p w:rsidR="00853A11" w:rsidRDefault="00910BB3" w:rsidP="00832B26">
      <w:pPr>
        <w:pStyle w:val="ConsPlusNormal"/>
        <w:ind w:firstLine="709"/>
        <w:jc w:val="both"/>
      </w:pPr>
      <w:r>
        <w:t xml:space="preserve">1.1. </w:t>
      </w:r>
      <w:r w:rsidR="00C361E9" w:rsidRPr="00853814">
        <w:t xml:space="preserve">Управление финансов </w:t>
      </w:r>
      <w:r w:rsidR="007F0F7B" w:rsidRPr="00853814">
        <w:t xml:space="preserve">является </w:t>
      </w:r>
      <w:r w:rsidR="00C361E9" w:rsidRPr="00853814">
        <w:t>главным адм</w:t>
      </w:r>
      <w:r>
        <w:t xml:space="preserve">инистратором доходов городского </w:t>
      </w:r>
      <w:r w:rsidR="00C361E9" w:rsidRPr="00853814">
        <w:t>бюджета</w:t>
      </w:r>
      <w:r w:rsidR="00853A11">
        <w:t xml:space="preserve"> и выполняет </w:t>
      </w:r>
      <w:r w:rsidR="00853A11" w:rsidRPr="00643743">
        <w:t xml:space="preserve">полномочия администратора доходов городского бюджета в отношении </w:t>
      </w:r>
      <w:r w:rsidR="00853A11">
        <w:t xml:space="preserve">следующих неналоговых </w:t>
      </w:r>
      <w:r w:rsidR="00853A11" w:rsidRPr="00643743">
        <w:t>доходов</w:t>
      </w:r>
      <w:r w:rsidR="00853A11">
        <w:t>:</w:t>
      </w:r>
    </w:p>
    <w:p w:rsidR="00853A11" w:rsidRPr="00853814" w:rsidRDefault="00853A11" w:rsidP="00832B26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53814">
        <w:rPr>
          <w:rFonts w:eastAsia="Times New Roman"/>
          <w:lang w:eastAsia="ru-RU"/>
        </w:rPr>
        <w:t>-   прочие доходы от компенсации затрат бюджетов городских округов;</w:t>
      </w:r>
    </w:p>
    <w:p w:rsidR="00853A11" w:rsidRPr="00853814" w:rsidRDefault="00853A11" w:rsidP="00832B26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53814">
        <w:rPr>
          <w:rFonts w:eastAsia="Times New Roman"/>
          <w:lang w:eastAsia="ru-RU"/>
        </w:rPr>
        <w:t>- прочие поступления от денежных взысканий (штрафов) и иных сумм в возмещение ущерба, зачисляемые в бюджеты городских округов;</w:t>
      </w:r>
    </w:p>
    <w:p w:rsidR="00853A11" w:rsidRPr="00853814" w:rsidRDefault="00853A11" w:rsidP="00832B26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53814">
        <w:rPr>
          <w:rFonts w:eastAsia="Times New Roman"/>
          <w:lang w:eastAsia="ru-RU"/>
        </w:rPr>
        <w:t>- денежные взыскания (штрафы) за нарушение законодательства о контрактной системе в сфере закупок товаров, работ, услуг для обеспечения государственных и муниципальных нужд</w:t>
      </w:r>
      <w:r w:rsidR="000933AA">
        <w:rPr>
          <w:rFonts w:eastAsia="Times New Roman"/>
          <w:lang w:eastAsia="ru-RU"/>
        </w:rPr>
        <w:t xml:space="preserve"> для нужд городских округов;</w:t>
      </w:r>
    </w:p>
    <w:p w:rsidR="00853A11" w:rsidRPr="00853814" w:rsidRDefault="00853A11" w:rsidP="00832B26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53814">
        <w:rPr>
          <w:rFonts w:eastAsia="Times New Roman"/>
          <w:lang w:eastAsia="ru-RU"/>
        </w:rPr>
        <w:t>-  невыясненные поступления, зачисляемые в бюджеты городских округов;</w:t>
      </w:r>
    </w:p>
    <w:p w:rsidR="00853A11" w:rsidRDefault="00853A11" w:rsidP="00832B26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53814">
        <w:rPr>
          <w:rFonts w:eastAsia="Times New Roman"/>
          <w:lang w:eastAsia="ru-RU"/>
        </w:rPr>
        <w:t>-  прочие неналоговые доходы бюджетов городских округов.</w:t>
      </w:r>
    </w:p>
    <w:p w:rsidR="00853A11" w:rsidRDefault="00115B06" w:rsidP="00832B26">
      <w:pPr>
        <w:pStyle w:val="ConsPlusNormal"/>
        <w:ind w:firstLine="709"/>
        <w:jc w:val="both"/>
      </w:pPr>
      <w:r>
        <w:t>1</w:t>
      </w:r>
      <w:r w:rsidR="00910BB3">
        <w:t>.</w:t>
      </w:r>
      <w:r w:rsidR="00853A11">
        <w:t>2</w:t>
      </w:r>
      <w:r w:rsidR="00910BB3">
        <w:t xml:space="preserve">.  К прочим доходам от компенсации затрат бюджетов городских округов относится дебиторская задолженность прошлых лет. </w:t>
      </w:r>
    </w:p>
    <w:p w:rsidR="00B779F4" w:rsidRDefault="00115B06" w:rsidP="00832B26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</w:t>
      </w:r>
      <w:r w:rsidR="00910BB3">
        <w:t>.</w:t>
      </w:r>
      <w:r w:rsidR="00853A11">
        <w:t>3</w:t>
      </w:r>
      <w:r w:rsidR="00910BB3">
        <w:t xml:space="preserve">. </w:t>
      </w:r>
      <w:r w:rsidR="00486E3A">
        <w:t xml:space="preserve"> К </w:t>
      </w:r>
      <w:r w:rsidR="00486E3A" w:rsidRPr="00853814">
        <w:rPr>
          <w:rFonts w:eastAsia="Times New Roman"/>
          <w:lang w:eastAsia="ru-RU"/>
        </w:rPr>
        <w:t>прочи</w:t>
      </w:r>
      <w:r w:rsidR="00486E3A">
        <w:t>м</w:t>
      </w:r>
      <w:r w:rsidR="00486E3A" w:rsidRPr="00853814">
        <w:rPr>
          <w:rFonts w:eastAsia="Times New Roman"/>
          <w:lang w:eastAsia="ru-RU"/>
        </w:rPr>
        <w:t xml:space="preserve"> поступления</w:t>
      </w:r>
      <w:r w:rsidR="00486E3A">
        <w:t>м</w:t>
      </w:r>
      <w:r w:rsidR="00486E3A" w:rsidRPr="00853814">
        <w:rPr>
          <w:rFonts w:eastAsia="Times New Roman"/>
          <w:lang w:eastAsia="ru-RU"/>
        </w:rPr>
        <w:t xml:space="preserve"> от денежных взысканий (штрафов) и иных сумм в возмещение ущерба, зачисляемые в бюджеты городских округов</w:t>
      </w:r>
      <w:r w:rsidR="00486E3A">
        <w:t xml:space="preserve"> относятся средства, полученные в результате применения мер гражданско</w:t>
      </w:r>
      <w:r w:rsidR="00BF17CE">
        <w:t xml:space="preserve"> </w:t>
      </w:r>
      <w:r w:rsidR="00486E3A">
        <w:t>-</w:t>
      </w:r>
      <w:r w:rsidR="00BF17CE">
        <w:t xml:space="preserve"> </w:t>
      </w:r>
      <w:r w:rsidR="00486E3A">
        <w:t>правовой, административной и уголовной ответственности, в том числе штрафы, конфискации, компенсации, а также средства, полученные в возмещение вреда, и ины</w:t>
      </w:r>
      <w:r w:rsidR="00FA0F2A">
        <w:t>е суммы принудительного изъятия.</w:t>
      </w:r>
    </w:p>
    <w:p w:rsidR="00B779F4" w:rsidRDefault="00115B06" w:rsidP="00832B26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</w:t>
      </w:r>
      <w:r w:rsidR="00FA0F2A">
        <w:t>.</w:t>
      </w:r>
      <w:r w:rsidR="00BF17CE">
        <w:t>4</w:t>
      </w:r>
      <w:r w:rsidR="00FA0F2A">
        <w:t xml:space="preserve">. К </w:t>
      </w:r>
      <w:r w:rsidR="00FA0F2A" w:rsidRPr="00853814">
        <w:rPr>
          <w:rFonts w:eastAsia="Times New Roman"/>
          <w:lang w:eastAsia="ru-RU"/>
        </w:rPr>
        <w:t>денежны</w:t>
      </w:r>
      <w:r w:rsidR="00FA0F2A">
        <w:rPr>
          <w:rFonts w:eastAsia="Times New Roman"/>
          <w:lang w:eastAsia="ru-RU"/>
        </w:rPr>
        <w:t>м</w:t>
      </w:r>
      <w:r w:rsidR="00FA0F2A" w:rsidRPr="00853814">
        <w:rPr>
          <w:rFonts w:eastAsia="Times New Roman"/>
          <w:lang w:eastAsia="ru-RU"/>
        </w:rPr>
        <w:t xml:space="preserve"> взыскания</w:t>
      </w:r>
      <w:r w:rsidR="00FA0F2A">
        <w:rPr>
          <w:rFonts w:eastAsia="Times New Roman"/>
          <w:lang w:eastAsia="ru-RU"/>
        </w:rPr>
        <w:t>м</w:t>
      </w:r>
      <w:r w:rsidR="00FA0F2A" w:rsidRPr="00853814">
        <w:rPr>
          <w:rFonts w:eastAsia="Times New Roman"/>
          <w:lang w:eastAsia="ru-RU"/>
        </w:rPr>
        <w:t xml:space="preserve"> (штраф</w:t>
      </w:r>
      <w:r w:rsidR="005A0022">
        <w:rPr>
          <w:rFonts w:eastAsia="Times New Roman"/>
          <w:lang w:eastAsia="ru-RU"/>
        </w:rPr>
        <w:t>ам</w:t>
      </w:r>
      <w:r w:rsidR="00FA0F2A" w:rsidRPr="00853814">
        <w:rPr>
          <w:rFonts w:eastAsia="Times New Roman"/>
          <w:lang w:eastAsia="ru-RU"/>
        </w:rPr>
        <w:t xml:space="preserve">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</w:r>
      <w:r w:rsidR="00062DEA">
        <w:rPr>
          <w:rFonts w:eastAsia="Times New Roman"/>
          <w:lang w:eastAsia="ru-RU"/>
        </w:rPr>
        <w:t xml:space="preserve">для нужд </w:t>
      </w:r>
      <w:r w:rsidR="00FA0F2A" w:rsidRPr="00853814">
        <w:rPr>
          <w:rFonts w:eastAsia="Times New Roman"/>
          <w:lang w:eastAsia="ru-RU"/>
        </w:rPr>
        <w:t>городских округов</w:t>
      </w:r>
      <w:r w:rsidR="00FA0F2A">
        <w:rPr>
          <w:rFonts w:eastAsia="Times New Roman"/>
          <w:lang w:eastAsia="ru-RU"/>
        </w:rPr>
        <w:t xml:space="preserve"> </w:t>
      </w:r>
      <w:r w:rsidR="00FA0F2A">
        <w:t xml:space="preserve">относятся  штрафы, наложенные за нарушение законодательства Российской Федерации и иных нормативных правовых актов о контрактной системе в сфере закупок </w:t>
      </w:r>
      <w:r w:rsidR="00FA0F2A" w:rsidRPr="00853814">
        <w:rPr>
          <w:rFonts w:eastAsia="Times New Roman"/>
          <w:lang w:eastAsia="ru-RU"/>
        </w:rPr>
        <w:t>товаров, работ, услуг для обеспечения государственных и муниципальных нужд</w:t>
      </w:r>
      <w:r w:rsidR="00FA0F2A">
        <w:rPr>
          <w:rFonts w:eastAsia="Times New Roman"/>
          <w:lang w:eastAsia="ru-RU"/>
        </w:rPr>
        <w:t>.</w:t>
      </w:r>
    </w:p>
    <w:p w:rsidR="00B779F4" w:rsidRDefault="00115B06" w:rsidP="00832B26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FA0F2A">
        <w:rPr>
          <w:rFonts w:eastAsia="Times New Roman"/>
          <w:lang w:eastAsia="ru-RU"/>
        </w:rPr>
        <w:t>.</w:t>
      </w:r>
      <w:r w:rsidR="00BF17CE">
        <w:rPr>
          <w:rFonts w:eastAsia="Times New Roman"/>
          <w:lang w:eastAsia="ru-RU"/>
        </w:rPr>
        <w:t>5</w:t>
      </w:r>
      <w:r w:rsidR="00FA0F2A">
        <w:rPr>
          <w:rFonts w:eastAsia="Times New Roman"/>
          <w:lang w:eastAsia="ru-RU"/>
        </w:rPr>
        <w:t xml:space="preserve">. К </w:t>
      </w:r>
      <w:r w:rsidR="00FA0F2A" w:rsidRPr="00853814">
        <w:rPr>
          <w:rFonts w:eastAsia="Times New Roman"/>
          <w:lang w:eastAsia="ru-RU"/>
        </w:rPr>
        <w:t>невыясненны</w:t>
      </w:r>
      <w:r>
        <w:rPr>
          <w:rFonts w:eastAsia="Times New Roman"/>
          <w:lang w:eastAsia="ru-RU"/>
        </w:rPr>
        <w:t>м</w:t>
      </w:r>
      <w:r w:rsidR="00FA0F2A" w:rsidRPr="00853814">
        <w:rPr>
          <w:rFonts w:eastAsia="Times New Roman"/>
          <w:lang w:eastAsia="ru-RU"/>
        </w:rPr>
        <w:t xml:space="preserve"> поступления</w:t>
      </w:r>
      <w:r>
        <w:rPr>
          <w:rFonts w:eastAsia="Times New Roman"/>
          <w:lang w:eastAsia="ru-RU"/>
        </w:rPr>
        <w:t>м</w:t>
      </w:r>
      <w:r w:rsidR="00FA0F2A" w:rsidRPr="00853814">
        <w:rPr>
          <w:rFonts w:eastAsia="Times New Roman"/>
          <w:lang w:eastAsia="ru-RU"/>
        </w:rPr>
        <w:t>, зачисляемые в бюджеты городских округов</w:t>
      </w:r>
      <w:r w:rsidR="00FA0F2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относятся суммы доходов</w:t>
      </w:r>
      <w:r>
        <w:t>, принадлежность которых не установлена.</w:t>
      </w:r>
    </w:p>
    <w:p w:rsidR="00115B06" w:rsidRDefault="00115B06" w:rsidP="00832B26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1.</w:t>
      </w:r>
      <w:r w:rsidR="00BF17CE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. К </w:t>
      </w:r>
      <w:r w:rsidRPr="00853814">
        <w:rPr>
          <w:rFonts w:eastAsia="Times New Roman"/>
          <w:lang w:eastAsia="ru-RU"/>
        </w:rPr>
        <w:t>прочи</w:t>
      </w:r>
      <w:r>
        <w:rPr>
          <w:rFonts w:eastAsia="Times New Roman"/>
          <w:lang w:eastAsia="ru-RU"/>
        </w:rPr>
        <w:t>м</w:t>
      </w:r>
      <w:r w:rsidRPr="00853814">
        <w:rPr>
          <w:rFonts w:eastAsia="Times New Roman"/>
          <w:lang w:eastAsia="ru-RU"/>
        </w:rPr>
        <w:t xml:space="preserve"> неналоговы</w:t>
      </w:r>
      <w:r>
        <w:rPr>
          <w:rFonts w:eastAsia="Times New Roman"/>
          <w:lang w:eastAsia="ru-RU"/>
        </w:rPr>
        <w:t>м</w:t>
      </w:r>
      <w:r w:rsidRPr="00853814">
        <w:rPr>
          <w:rFonts w:eastAsia="Times New Roman"/>
          <w:lang w:eastAsia="ru-RU"/>
        </w:rPr>
        <w:t xml:space="preserve"> доход</w:t>
      </w:r>
      <w:r>
        <w:rPr>
          <w:rFonts w:eastAsia="Times New Roman"/>
          <w:lang w:eastAsia="ru-RU"/>
        </w:rPr>
        <w:t xml:space="preserve">ам </w:t>
      </w:r>
      <w:r w:rsidRPr="00853814">
        <w:rPr>
          <w:rFonts w:eastAsia="Times New Roman"/>
          <w:lang w:eastAsia="ru-RU"/>
        </w:rPr>
        <w:t xml:space="preserve"> </w:t>
      </w:r>
      <w:r>
        <w:t xml:space="preserve">относятся доходы, не отнесенные на другие </w:t>
      </w:r>
      <w:r w:rsidR="00937F69">
        <w:t xml:space="preserve">подгруппы доходов группы  </w:t>
      </w:r>
      <w:r>
        <w:t xml:space="preserve">100 </w:t>
      </w:r>
      <w:r w:rsidR="00937F69">
        <w:t>«Налоговые и неналоговые доходы»</w:t>
      </w:r>
      <w:r>
        <w:t>.</w:t>
      </w:r>
    </w:p>
    <w:p w:rsidR="00B779F4" w:rsidRPr="00B779F4" w:rsidRDefault="00B779F4" w:rsidP="00832B26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C27441" w:rsidRDefault="00C27441" w:rsidP="00832B26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C137CB" w:rsidRDefault="00C137CB" w:rsidP="00832B26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115B06" w:rsidRDefault="00115B06" w:rsidP="00832B26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>
        <w:rPr>
          <w:rStyle w:val="a4"/>
        </w:rPr>
        <w:lastRenderedPageBreak/>
        <w:t xml:space="preserve">2. </w:t>
      </w:r>
      <w:r w:rsidRPr="00853814">
        <w:rPr>
          <w:rStyle w:val="a4"/>
        </w:rPr>
        <w:t>Исчислени</w:t>
      </w:r>
      <w:r>
        <w:rPr>
          <w:rStyle w:val="a4"/>
        </w:rPr>
        <w:t>е и</w:t>
      </w:r>
      <w:r w:rsidRPr="00853814">
        <w:rPr>
          <w:rStyle w:val="a4"/>
        </w:rPr>
        <w:t xml:space="preserve"> размеры неналоговых доходов</w:t>
      </w:r>
    </w:p>
    <w:p w:rsidR="00B660D5" w:rsidRDefault="00B660D5" w:rsidP="00832B26">
      <w:pPr>
        <w:pStyle w:val="ConsPlusNormal"/>
        <w:ind w:firstLine="709"/>
        <w:jc w:val="both"/>
        <w:rPr>
          <w:b/>
          <w:bCs/>
        </w:rPr>
      </w:pPr>
    </w:p>
    <w:p w:rsidR="00740088" w:rsidRDefault="00275B00" w:rsidP="00B660D5">
      <w:pPr>
        <w:pStyle w:val="ConsPlusNormal"/>
        <w:ind w:firstLine="709"/>
        <w:jc w:val="both"/>
      </w:pPr>
      <w:r>
        <w:t xml:space="preserve">2.1. </w:t>
      </w:r>
      <w:r w:rsidR="009F7362">
        <w:t>Порядок</w:t>
      </w:r>
      <w:r w:rsidR="00F50870">
        <w:t xml:space="preserve"> и</w:t>
      </w:r>
      <w:r w:rsidR="00C361E9" w:rsidRPr="00853814">
        <w:t>счислени</w:t>
      </w:r>
      <w:r w:rsidR="00F50870">
        <w:t xml:space="preserve">я </w:t>
      </w:r>
      <w:r w:rsidR="00235411">
        <w:t xml:space="preserve">и размер </w:t>
      </w:r>
      <w:r w:rsidR="00F50870">
        <w:t>суммы</w:t>
      </w:r>
      <w:r w:rsidR="00C361E9" w:rsidRPr="00853814">
        <w:t xml:space="preserve"> </w:t>
      </w:r>
      <w:r>
        <w:t xml:space="preserve">прочих доходов от компенсации затрат бюджетов городских округов </w:t>
      </w:r>
      <w:r w:rsidR="00740088">
        <w:t xml:space="preserve">включает проведение анализа текущей финансовой ситуации, для </w:t>
      </w:r>
      <w:r w:rsidR="0022272C">
        <w:t xml:space="preserve">расчета </w:t>
      </w:r>
      <w:r w:rsidR="00740088">
        <w:t xml:space="preserve"> реальн</w:t>
      </w:r>
      <w:r w:rsidR="0022272C">
        <w:t>ой</w:t>
      </w:r>
      <w:r w:rsidR="00740088">
        <w:t xml:space="preserve"> стоимост</w:t>
      </w:r>
      <w:r w:rsidR="0022272C">
        <w:t>и</w:t>
      </w:r>
      <w:r w:rsidR="00740088">
        <w:t xml:space="preserve"> </w:t>
      </w:r>
      <w:r>
        <w:t>дебиторск</w:t>
      </w:r>
      <w:r w:rsidR="00740088">
        <w:t>ой</w:t>
      </w:r>
      <w:r>
        <w:t xml:space="preserve"> задолженност</w:t>
      </w:r>
      <w:r w:rsidR="00740088">
        <w:t>и.</w:t>
      </w:r>
    </w:p>
    <w:p w:rsidR="00B75DD1" w:rsidRDefault="00275B00" w:rsidP="00B660D5">
      <w:pPr>
        <w:pStyle w:val="ConsPlusNormal"/>
        <w:ind w:firstLine="709"/>
        <w:jc w:val="both"/>
      </w:pPr>
      <w:r>
        <w:t xml:space="preserve">2.2. </w:t>
      </w:r>
      <w:r w:rsidRPr="00853814">
        <w:t xml:space="preserve">Порядок исчисления </w:t>
      </w:r>
      <w:r w:rsidR="00235411">
        <w:t xml:space="preserve">и размер </w:t>
      </w:r>
      <w:r w:rsidR="009F7362">
        <w:t xml:space="preserve">суммы </w:t>
      </w:r>
      <w:r w:rsidRPr="00853814">
        <w:rPr>
          <w:rFonts w:eastAsia="Times New Roman"/>
          <w:lang w:eastAsia="ru-RU"/>
        </w:rPr>
        <w:t>прочи</w:t>
      </w:r>
      <w:r>
        <w:rPr>
          <w:rFonts w:eastAsia="Times New Roman"/>
          <w:lang w:eastAsia="ru-RU"/>
        </w:rPr>
        <w:t>х</w:t>
      </w:r>
      <w:r w:rsidRPr="00853814">
        <w:rPr>
          <w:rFonts w:eastAsia="Times New Roman"/>
          <w:lang w:eastAsia="ru-RU"/>
        </w:rPr>
        <w:t xml:space="preserve"> поступлени</w:t>
      </w:r>
      <w:r>
        <w:rPr>
          <w:rFonts w:eastAsia="Times New Roman"/>
          <w:lang w:eastAsia="ru-RU"/>
        </w:rPr>
        <w:t>й</w:t>
      </w:r>
      <w:r w:rsidRPr="00853814">
        <w:rPr>
          <w:rFonts w:eastAsia="Times New Roman"/>
          <w:lang w:eastAsia="ru-RU"/>
        </w:rPr>
        <w:t xml:space="preserve"> от денежных взысканий (штрафов) и иных сумм в возмещение ущерба, зачисляемые в бюджеты городских округов</w:t>
      </w:r>
      <w:r w:rsidRPr="00853814">
        <w:t xml:space="preserve"> </w:t>
      </w:r>
      <w:r>
        <w:t>определяется на основании Кодекса Российской Федерации «Об административных правонарушениях</w:t>
      </w:r>
      <w:r w:rsidR="00B40A5F">
        <w:t xml:space="preserve">» </w:t>
      </w:r>
      <w:r>
        <w:t xml:space="preserve"> от 30.12.2001 № 195-ФЗ.</w:t>
      </w:r>
    </w:p>
    <w:p w:rsidR="00A71F6E" w:rsidRDefault="005C711E" w:rsidP="00B660D5">
      <w:pPr>
        <w:pStyle w:val="ConsPlusNormal"/>
        <w:ind w:firstLine="709"/>
        <w:jc w:val="both"/>
      </w:pPr>
      <w:r>
        <w:t>2.3.</w:t>
      </w:r>
      <w:r w:rsidR="00CF242A">
        <w:t xml:space="preserve"> </w:t>
      </w:r>
      <w:proofErr w:type="gramStart"/>
      <w:r w:rsidR="00CF242A" w:rsidRPr="00853814">
        <w:t>Порядок исчисления</w:t>
      </w:r>
      <w:r w:rsidR="00CF242A">
        <w:t xml:space="preserve"> </w:t>
      </w:r>
      <w:r w:rsidR="00235411">
        <w:t xml:space="preserve">и размер </w:t>
      </w:r>
      <w:r w:rsidR="00B40A5F">
        <w:t xml:space="preserve">суммы </w:t>
      </w:r>
      <w:r w:rsidR="00CF242A" w:rsidRPr="00853814">
        <w:rPr>
          <w:rFonts w:eastAsia="Times New Roman"/>
          <w:lang w:eastAsia="ru-RU"/>
        </w:rPr>
        <w:t>денежны</w:t>
      </w:r>
      <w:r w:rsidR="00CF242A">
        <w:rPr>
          <w:rFonts w:eastAsia="Times New Roman"/>
          <w:lang w:eastAsia="ru-RU"/>
        </w:rPr>
        <w:t>х</w:t>
      </w:r>
      <w:r w:rsidR="00CF242A" w:rsidRPr="00853814">
        <w:rPr>
          <w:rFonts w:eastAsia="Times New Roman"/>
          <w:lang w:eastAsia="ru-RU"/>
        </w:rPr>
        <w:t xml:space="preserve"> взыскани</w:t>
      </w:r>
      <w:r w:rsidR="00CF242A">
        <w:rPr>
          <w:rFonts w:eastAsia="Times New Roman"/>
          <w:lang w:eastAsia="ru-RU"/>
        </w:rPr>
        <w:t>й</w:t>
      </w:r>
      <w:r w:rsidR="00CF242A" w:rsidRPr="00853814">
        <w:rPr>
          <w:rFonts w:eastAsia="Times New Roman"/>
          <w:lang w:eastAsia="ru-RU"/>
        </w:rPr>
        <w:t xml:space="preserve"> (штраф</w:t>
      </w:r>
      <w:r w:rsidR="005A0022">
        <w:rPr>
          <w:rFonts w:eastAsia="Times New Roman"/>
          <w:lang w:eastAsia="ru-RU"/>
        </w:rPr>
        <w:t>ов</w:t>
      </w:r>
      <w:r w:rsidR="00CF242A" w:rsidRPr="00853814">
        <w:rPr>
          <w:rFonts w:eastAsia="Times New Roman"/>
          <w:lang w:eastAsia="ru-RU"/>
        </w:rPr>
        <w:t xml:space="preserve">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</w:r>
      <w:r w:rsidR="00B40A5F">
        <w:rPr>
          <w:rFonts w:eastAsia="Times New Roman"/>
          <w:lang w:eastAsia="ru-RU"/>
        </w:rPr>
        <w:t>для нужд городских округов</w:t>
      </w:r>
      <w:r w:rsidR="00B40A5F">
        <w:t xml:space="preserve"> </w:t>
      </w:r>
      <w:r w:rsidR="00CF242A">
        <w:t>определяется</w:t>
      </w:r>
      <w:r w:rsidR="00B85A72">
        <w:t xml:space="preserve"> на основании </w:t>
      </w:r>
      <w:r w:rsidR="00A71F6E">
        <w:t xml:space="preserve">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</w:t>
      </w:r>
      <w:proofErr w:type="gramEnd"/>
      <w:r w:rsidR="00A71F6E">
        <w:t xml:space="preserve">), и размера пени, начисляемой за каждый день просрочки исполнения поставщиком (подрядчиком, исполнителем) обязательства, предусмотренного контрактом, </w:t>
      </w:r>
      <w:proofErr w:type="gramStart"/>
      <w:r w:rsidR="00A71F6E">
        <w:t>утвержденн</w:t>
      </w:r>
      <w:r w:rsidR="00B40A5F">
        <w:t>ых</w:t>
      </w:r>
      <w:proofErr w:type="gramEnd"/>
      <w:r w:rsidR="00A71F6E">
        <w:t xml:space="preserve"> постановлением Правительства Российской </w:t>
      </w:r>
      <w:r w:rsidR="00B40A5F">
        <w:t>Ф</w:t>
      </w:r>
      <w:r w:rsidR="00A71F6E">
        <w:t>едерации от 25.11.2013 № 1063.</w:t>
      </w:r>
    </w:p>
    <w:p w:rsidR="00FE16F8" w:rsidRDefault="00145D0B" w:rsidP="00B660D5">
      <w:pPr>
        <w:pStyle w:val="ConsPlusNormal"/>
        <w:ind w:firstLine="709"/>
        <w:jc w:val="both"/>
      </w:pPr>
      <w:r>
        <w:t xml:space="preserve">2.4. </w:t>
      </w:r>
      <w:r w:rsidRPr="00853814">
        <w:t>Порядок исчисления</w:t>
      </w:r>
      <w:r>
        <w:t xml:space="preserve"> </w:t>
      </w:r>
      <w:r w:rsidR="00235411">
        <w:t xml:space="preserve">и размер </w:t>
      </w:r>
      <w:r w:rsidR="00C82530">
        <w:t xml:space="preserve">суммы </w:t>
      </w:r>
      <w:r w:rsidRPr="00853814">
        <w:rPr>
          <w:rFonts w:eastAsia="Times New Roman"/>
          <w:lang w:eastAsia="ru-RU"/>
        </w:rPr>
        <w:t>невыясненны</w:t>
      </w:r>
      <w:r>
        <w:rPr>
          <w:rFonts w:eastAsia="Times New Roman"/>
          <w:lang w:eastAsia="ru-RU"/>
        </w:rPr>
        <w:t>х</w:t>
      </w:r>
      <w:r w:rsidRPr="00853814">
        <w:rPr>
          <w:rFonts w:eastAsia="Times New Roman"/>
          <w:lang w:eastAsia="ru-RU"/>
        </w:rPr>
        <w:t xml:space="preserve"> поступлени</w:t>
      </w:r>
      <w:r>
        <w:rPr>
          <w:rFonts w:eastAsia="Times New Roman"/>
          <w:lang w:eastAsia="ru-RU"/>
        </w:rPr>
        <w:t>й</w:t>
      </w:r>
      <w:r w:rsidRPr="00853814">
        <w:rPr>
          <w:rFonts w:eastAsia="Times New Roman"/>
          <w:lang w:eastAsia="ru-RU"/>
        </w:rPr>
        <w:t>, зачисляемые в бюджеты городских округов</w:t>
      </w:r>
      <w:r>
        <w:rPr>
          <w:rFonts w:eastAsia="Times New Roman"/>
          <w:lang w:eastAsia="ru-RU"/>
        </w:rPr>
        <w:t xml:space="preserve"> </w:t>
      </w:r>
      <w:r>
        <w:t xml:space="preserve">не </w:t>
      </w:r>
      <w:r w:rsidR="00C82530">
        <w:t>может быть определен</w:t>
      </w:r>
      <w:r>
        <w:t>, в связи с тем, что</w:t>
      </w:r>
      <w:r w:rsidR="00C82530" w:rsidRPr="00C82530">
        <w:rPr>
          <w:rFonts w:ascii="Arial" w:hAnsi="Arial" w:cs="Arial"/>
          <w:color w:val="505B61"/>
          <w:sz w:val="18"/>
          <w:szCs w:val="18"/>
        </w:rPr>
        <w:t xml:space="preserve"> </w:t>
      </w:r>
      <w:r w:rsidR="00FE16F8" w:rsidRPr="00FE16F8">
        <w:t xml:space="preserve">к невыясненным </w:t>
      </w:r>
      <w:r w:rsidR="00C82530" w:rsidRPr="00FE16F8">
        <w:t xml:space="preserve"> </w:t>
      </w:r>
      <w:r w:rsidR="00C82530" w:rsidRPr="00C82530">
        <w:t>поступления</w:t>
      </w:r>
      <w:r w:rsidR="00FE16F8">
        <w:t>м</w:t>
      </w:r>
      <w:r w:rsidR="00C82530" w:rsidRPr="00C82530">
        <w:t xml:space="preserve"> </w:t>
      </w:r>
      <w:r w:rsidR="00FE16F8">
        <w:t>относятся доходы,</w:t>
      </w:r>
      <w:r w:rsidR="00FE16F8" w:rsidRPr="00FE16F8">
        <w:t xml:space="preserve"> </w:t>
      </w:r>
      <w:r w:rsidR="00FE16F8">
        <w:t>принадлежность которых не установлена.</w:t>
      </w:r>
    </w:p>
    <w:p w:rsidR="00235411" w:rsidRDefault="00145D0B" w:rsidP="00B660D5">
      <w:pPr>
        <w:pStyle w:val="ConsPlusNormal"/>
        <w:ind w:firstLine="709"/>
        <w:jc w:val="both"/>
      </w:pPr>
      <w:r w:rsidRPr="00FE16F8">
        <w:rPr>
          <w:rFonts w:eastAsia="Times New Roman"/>
          <w:lang w:eastAsia="ru-RU"/>
        </w:rPr>
        <w:t xml:space="preserve">2.5. Порядок исчисления </w:t>
      </w:r>
      <w:r w:rsidR="00235411">
        <w:rPr>
          <w:rFonts w:eastAsia="Times New Roman"/>
          <w:lang w:eastAsia="ru-RU"/>
        </w:rPr>
        <w:t xml:space="preserve">и размер </w:t>
      </w:r>
      <w:r w:rsidR="00D0446E">
        <w:rPr>
          <w:rFonts w:eastAsia="Times New Roman"/>
          <w:lang w:eastAsia="ru-RU"/>
        </w:rPr>
        <w:t xml:space="preserve">суммы </w:t>
      </w:r>
      <w:r w:rsidRPr="00FE16F8">
        <w:rPr>
          <w:rFonts w:eastAsia="Times New Roman"/>
          <w:lang w:eastAsia="ru-RU"/>
        </w:rPr>
        <w:t xml:space="preserve">прочих неналоговых доходов не </w:t>
      </w:r>
      <w:r w:rsidR="00937F69">
        <w:t xml:space="preserve">может быть определен, в связи с тем, что </w:t>
      </w:r>
      <w:r w:rsidR="00937F69">
        <w:rPr>
          <w:rFonts w:eastAsia="Times New Roman"/>
          <w:lang w:eastAsia="ru-RU"/>
        </w:rPr>
        <w:t xml:space="preserve">к </w:t>
      </w:r>
      <w:r w:rsidR="00937F69" w:rsidRPr="00853814">
        <w:rPr>
          <w:rFonts w:eastAsia="Times New Roman"/>
          <w:lang w:eastAsia="ru-RU"/>
        </w:rPr>
        <w:t>прочи</w:t>
      </w:r>
      <w:r w:rsidR="00937F69">
        <w:rPr>
          <w:rFonts w:eastAsia="Times New Roman"/>
          <w:lang w:eastAsia="ru-RU"/>
        </w:rPr>
        <w:t>м</w:t>
      </w:r>
      <w:r w:rsidR="00937F69" w:rsidRPr="00853814">
        <w:rPr>
          <w:rFonts w:eastAsia="Times New Roman"/>
          <w:lang w:eastAsia="ru-RU"/>
        </w:rPr>
        <w:t xml:space="preserve"> неналоговы</w:t>
      </w:r>
      <w:r w:rsidR="00937F69">
        <w:rPr>
          <w:rFonts w:eastAsia="Times New Roman"/>
          <w:lang w:eastAsia="ru-RU"/>
        </w:rPr>
        <w:t>м</w:t>
      </w:r>
      <w:r w:rsidR="00937F69" w:rsidRPr="00853814">
        <w:rPr>
          <w:rFonts w:eastAsia="Times New Roman"/>
          <w:lang w:eastAsia="ru-RU"/>
        </w:rPr>
        <w:t xml:space="preserve"> доход</w:t>
      </w:r>
      <w:r w:rsidR="00937F69">
        <w:rPr>
          <w:rFonts w:eastAsia="Times New Roman"/>
          <w:lang w:eastAsia="ru-RU"/>
        </w:rPr>
        <w:t xml:space="preserve">ам </w:t>
      </w:r>
      <w:r w:rsidR="00937F69" w:rsidRPr="00853814">
        <w:rPr>
          <w:rFonts w:eastAsia="Times New Roman"/>
          <w:lang w:eastAsia="ru-RU"/>
        </w:rPr>
        <w:t xml:space="preserve"> </w:t>
      </w:r>
      <w:r w:rsidR="00937F69">
        <w:t xml:space="preserve">относятся доходы, </w:t>
      </w:r>
      <w:r w:rsidR="00235411">
        <w:t>не отнесенные на другие подгруппы доходов группы  100 «Налоговые и неналоговые доходы».</w:t>
      </w:r>
    </w:p>
    <w:p w:rsidR="00235411" w:rsidRDefault="00235411" w:rsidP="00832B26">
      <w:pPr>
        <w:pStyle w:val="ConsPlusNormal"/>
        <w:ind w:firstLine="709"/>
        <w:jc w:val="both"/>
      </w:pPr>
    </w:p>
    <w:p w:rsidR="00C361E9" w:rsidRDefault="00145D0B" w:rsidP="00832B26">
      <w:pPr>
        <w:pStyle w:val="ConsPlusNormal"/>
        <w:ind w:firstLine="709"/>
        <w:jc w:val="center"/>
        <w:rPr>
          <w:b/>
          <w:bCs/>
        </w:rPr>
      </w:pPr>
      <w:r>
        <w:rPr>
          <w:b/>
          <w:bCs/>
        </w:rPr>
        <w:t xml:space="preserve">3. </w:t>
      </w:r>
      <w:r w:rsidR="00C361E9" w:rsidRPr="00275B00">
        <w:rPr>
          <w:b/>
          <w:bCs/>
        </w:rPr>
        <w:t xml:space="preserve">Сроки и </w:t>
      </w:r>
      <w:r w:rsidR="00C928B3">
        <w:rPr>
          <w:b/>
          <w:bCs/>
        </w:rPr>
        <w:t xml:space="preserve">(или) </w:t>
      </w:r>
      <w:r w:rsidR="00C361E9" w:rsidRPr="00275B00">
        <w:rPr>
          <w:b/>
          <w:bCs/>
        </w:rPr>
        <w:t>условия уплаты неналоговых доходов</w:t>
      </w:r>
    </w:p>
    <w:p w:rsidR="00145D0B" w:rsidRPr="00275B00" w:rsidRDefault="00145D0B" w:rsidP="00832B26">
      <w:pPr>
        <w:pStyle w:val="ConsPlusNormal"/>
        <w:ind w:firstLine="709"/>
        <w:jc w:val="center"/>
        <w:rPr>
          <w:b/>
          <w:bCs/>
        </w:rPr>
      </w:pPr>
    </w:p>
    <w:p w:rsidR="00853A11" w:rsidRDefault="00145D0B" w:rsidP="00B660D5">
      <w:pPr>
        <w:pStyle w:val="ConsPlusNormal"/>
        <w:ind w:firstLine="709"/>
        <w:jc w:val="both"/>
      </w:pPr>
      <w:r>
        <w:t>3</w:t>
      </w:r>
      <w:r w:rsidR="00853A11">
        <w:t>.</w:t>
      </w:r>
      <w:r>
        <w:t>1</w:t>
      </w:r>
      <w:r w:rsidR="00853A11">
        <w:t xml:space="preserve">. </w:t>
      </w:r>
      <w:r w:rsidR="00853A11" w:rsidRPr="00853814">
        <w:t xml:space="preserve">Плательщиками неналоговых доходов </w:t>
      </w:r>
      <w:r>
        <w:t xml:space="preserve">Управления финансов </w:t>
      </w:r>
      <w:r w:rsidR="00853A11" w:rsidRPr="00853814">
        <w:t>являются физиче</w:t>
      </w:r>
      <w:r w:rsidR="00853A11">
        <w:t xml:space="preserve">ские и юридические лица </w:t>
      </w:r>
      <w:r w:rsidR="00853A11" w:rsidRPr="00853814">
        <w:t>(далее - плательщики).</w:t>
      </w:r>
    </w:p>
    <w:p w:rsidR="00145D0B" w:rsidRDefault="00145D0B" w:rsidP="00B660D5">
      <w:pPr>
        <w:pStyle w:val="ConsPlusNormal"/>
        <w:ind w:firstLine="709"/>
        <w:jc w:val="both"/>
      </w:pPr>
      <w:r>
        <w:t xml:space="preserve">3.2. </w:t>
      </w:r>
      <w:r w:rsidR="00AE2990">
        <w:t xml:space="preserve"> Срок уплаты дебиторской задолженности </w:t>
      </w:r>
      <w:r w:rsidR="00C137CB">
        <w:t xml:space="preserve">прошлых лет </w:t>
      </w:r>
      <w:r w:rsidR="00511CD3">
        <w:t>определяется в</w:t>
      </w:r>
      <w:r w:rsidR="00005FCC">
        <w:t xml:space="preserve"> соответствии с  пунктом 2.5.6. </w:t>
      </w:r>
      <w:proofErr w:type="gramStart"/>
      <w:r w:rsidR="00005FCC">
        <w:t xml:space="preserve">Порядка  кассового обслуживания исполнения федерального бюджета, бюджетов субъектов Российской </w:t>
      </w:r>
      <w:r w:rsidR="00C137CB">
        <w:t>Ф</w:t>
      </w:r>
      <w:r w:rsidR="00005FCC">
        <w:t xml:space="preserve">едерации и местных бюджетов и порядок осуществления территориальными органами Федерального казначейства  отдельных функций финансовых органов субъектов Российской </w:t>
      </w:r>
      <w:r w:rsidR="00C137CB">
        <w:t>Ф</w:t>
      </w:r>
      <w:r w:rsidR="00005FCC">
        <w:t xml:space="preserve">едерации и муниципальных образований по исполнению соответствующих бюджетов, утверждённого приказом Министерства финансов Российской </w:t>
      </w:r>
      <w:r w:rsidR="00C137CB">
        <w:t>Ф</w:t>
      </w:r>
      <w:r w:rsidR="00005FCC">
        <w:t xml:space="preserve">едерации </w:t>
      </w:r>
      <w:r w:rsidR="005A6111">
        <w:t xml:space="preserve">и Федерального казначейства  от </w:t>
      </w:r>
      <w:r w:rsidR="00FC63CD">
        <w:t>10.10.2008 № 8н, где сказано,  в</w:t>
      </w:r>
      <w:r>
        <w:t xml:space="preserve"> случае, если суммы возврата дебиторской задолженности прошлых лет поступили на счет</w:t>
      </w:r>
      <w:proofErr w:type="gramEnd"/>
      <w:r>
        <w:t xml:space="preserve"> </w:t>
      </w:r>
      <w:r w:rsidR="00A63E02">
        <w:t xml:space="preserve">№ </w:t>
      </w:r>
      <w:proofErr w:type="gramStart"/>
      <w:r w:rsidR="00A63E02" w:rsidRPr="00A63E02">
        <w:t>40204 «Средства местных бюджетов</w:t>
      </w:r>
      <w:r w:rsidR="00A63E02">
        <w:t>»</w:t>
      </w:r>
      <w:r>
        <w:t>, минуя счет № 40101</w:t>
      </w:r>
      <w:r w:rsidR="008F3055">
        <w:t xml:space="preserve"> «</w:t>
      </w:r>
      <w:r w:rsidR="008F3055" w:rsidRPr="008F3055">
        <w:t>Доходы, распределяемые органами Федерального казначейства между уровнями бюджетной системы Российской Федерации</w:t>
      </w:r>
      <w:r w:rsidR="008F3055">
        <w:t>»</w:t>
      </w:r>
      <w:r>
        <w:t>, то не позднее пяти рабочих дней со дня отражения соответствующих сумм на лицевом счете получателя бюджетных средств (администратора источников финансирования дефицита бюджета) указанные суммы подлежат перечислению в установленном порядке получателем бюджетных средств (администратором источников финансирования дефицита бюджета) в доход городского бюджета.</w:t>
      </w:r>
      <w:proofErr w:type="gramEnd"/>
    </w:p>
    <w:p w:rsidR="008A589F" w:rsidRDefault="00E278C8" w:rsidP="00832B26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lastRenderedPageBreak/>
        <w:t xml:space="preserve">3.3. </w:t>
      </w:r>
      <w:r w:rsidR="00172580">
        <w:t xml:space="preserve">Срок уплаты </w:t>
      </w:r>
      <w:r w:rsidR="004E4EFA">
        <w:t xml:space="preserve">суммы </w:t>
      </w:r>
      <w:r w:rsidR="00172580" w:rsidRPr="00853814">
        <w:rPr>
          <w:rFonts w:eastAsia="Times New Roman"/>
          <w:lang w:eastAsia="ru-RU"/>
        </w:rPr>
        <w:t xml:space="preserve">денежных взысканий (штрафов) </w:t>
      </w:r>
      <w:r w:rsidR="008A589F">
        <w:rPr>
          <w:rFonts w:eastAsia="Times New Roman"/>
          <w:lang w:eastAsia="ru-RU"/>
        </w:rPr>
        <w:t>и иных сумм в возмещение ущерба</w:t>
      </w:r>
      <w:r w:rsidR="00172580">
        <w:rPr>
          <w:rFonts w:eastAsia="Times New Roman"/>
          <w:lang w:eastAsia="ru-RU"/>
        </w:rPr>
        <w:t xml:space="preserve">  определяется в соответствии </w:t>
      </w:r>
      <w:r w:rsidR="008A589F">
        <w:t>Кодексом Российской Федерации «Об административных правонарушениях»  от 30.12.2001 № 195-ФЗ</w:t>
      </w:r>
      <w:r w:rsidR="00FC63CD">
        <w:t>.</w:t>
      </w:r>
    </w:p>
    <w:p w:rsidR="001117EB" w:rsidRDefault="008A589F" w:rsidP="00832B26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3.4. Срок уплаты </w:t>
      </w:r>
      <w:r>
        <w:t xml:space="preserve">суммы </w:t>
      </w:r>
      <w:r w:rsidRPr="00853814">
        <w:rPr>
          <w:rFonts w:eastAsia="Times New Roman"/>
          <w:lang w:eastAsia="ru-RU"/>
        </w:rPr>
        <w:t>денежны</w:t>
      </w:r>
      <w:r>
        <w:rPr>
          <w:rFonts w:eastAsia="Times New Roman"/>
          <w:lang w:eastAsia="ru-RU"/>
        </w:rPr>
        <w:t>х</w:t>
      </w:r>
      <w:r w:rsidRPr="00853814">
        <w:rPr>
          <w:rFonts w:eastAsia="Times New Roman"/>
          <w:lang w:eastAsia="ru-RU"/>
        </w:rPr>
        <w:t xml:space="preserve"> взыскани</w:t>
      </w:r>
      <w:r>
        <w:rPr>
          <w:rFonts w:eastAsia="Times New Roman"/>
          <w:lang w:eastAsia="ru-RU"/>
        </w:rPr>
        <w:t>й</w:t>
      </w:r>
      <w:r w:rsidRPr="00853814">
        <w:rPr>
          <w:rFonts w:eastAsia="Times New Roman"/>
          <w:lang w:eastAsia="ru-RU"/>
        </w:rPr>
        <w:t xml:space="preserve"> (штраф</w:t>
      </w:r>
      <w:r w:rsidR="005A0022">
        <w:rPr>
          <w:rFonts w:eastAsia="Times New Roman"/>
          <w:lang w:eastAsia="ru-RU"/>
        </w:rPr>
        <w:t>ов</w:t>
      </w:r>
      <w:r w:rsidRPr="00853814">
        <w:rPr>
          <w:rFonts w:eastAsia="Times New Roman"/>
          <w:lang w:eastAsia="ru-RU"/>
        </w:rPr>
        <w:t xml:space="preserve">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</w:r>
      <w:r>
        <w:rPr>
          <w:rFonts w:eastAsia="Times New Roman"/>
          <w:lang w:eastAsia="ru-RU"/>
        </w:rPr>
        <w:t xml:space="preserve">для нужд городских округов </w:t>
      </w:r>
      <w:r w:rsidR="005A0022">
        <w:rPr>
          <w:rFonts w:eastAsia="Times New Roman"/>
          <w:lang w:eastAsia="ru-RU"/>
        </w:rPr>
        <w:t xml:space="preserve">определяется </w:t>
      </w:r>
      <w:r w:rsidR="00A53320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с</w:t>
      </w:r>
      <w:r w:rsidR="00A53320">
        <w:rPr>
          <w:rFonts w:eastAsia="Times New Roman"/>
          <w:lang w:eastAsia="ru-RU"/>
        </w:rPr>
        <w:t>оответствии с</w:t>
      </w:r>
      <w:r>
        <w:rPr>
          <w:rFonts w:eastAsia="Times New Roman"/>
          <w:lang w:eastAsia="ru-RU"/>
        </w:rPr>
        <w:t xml:space="preserve"> </w:t>
      </w:r>
      <w:r w:rsidR="001117EB">
        <w:t>Кодексом Российской Федерации «Об административных правонарушениях»  от 30.12.2001 № 195-ФЗ.</w:t>
      </w:r>
    </w:p>
    <w:p w:rsidR="00172580" w:rsidRDefault="00604333" w:rsidP="00832B26">
      <w:pPr>
        <w:pStyle w:val="ConsPlusNormal"/>
        <w:ind w:firstLine="540"/>
        <w:jc w:val="both"/>
      </w:pPr>
      <w:r>
        <w:t>3.</w:t>
      </w:r>
      <w:r w:rsidR="00FC63CD">
        <w:t>5</w:t>
      </w:r>
      <w:r>
        <w:t xml:space="preserve">. </w:t>
      </w:r>
      <w:r w:rsidR="008A1429" w:rsidRPr="00853814">
        <w:t xml:space="preserve"> </w:t>
      </w:r>
      <w:r w:rsidR="00C361E9" w:rsidRPr="00853814">
        <w:t>Плательщик</w:t>
      </w:r>
      <w:r w:rsidR="00F12C23" w:rsidRPr="00853814">
        <w:t>и</w:t>
      </w:r>
      <w:r w:rsidR="00C361E9" w:rsidRPr="00853814">
        <w:t xml:space="preserve"> перечисля</w:t>
      </w:r>
      <w:r w:rsidR="00F12C23" w:rsidRPr="00853814">
        <w:t>ю</w:t>
      </w:r>
      <w:r w:rsidR="00C361E9" w:rsidRPr="00853814">
        <w:t>т неналоговы</w:t>
      </w:r>
      <w:r w:rsidR="00F12C23" w:rsidRPr="00853814">
        <w:t>е</w:t>
      </w:r>
      <w:r w:rsidR="00C361E9" w:rsidRPr="00853814">
        <w:t xml:space="preserve"> </w:t>
      </w:r>
      <w:r w:rsidR="00C928B3">
        <w:t>доходы</w:t>
      </w:r>
      <w:r w:rsidR="0097635F" w:rsidRPr="00853814">
        <w:t xml:space="preserve"> на </w:t>
      </w:r>
      <w:r w:rsidR="00692166" w:rsidRPr="00853814">
        <w:t>лицевой счет</w:t>
      </w:r>
      <w:r w:rsidR="00172580">
        <w:t xml:space="preserve"> Управления финансов</w:t>
      </w:r>
      <w:r w:rsidR="0097635F" w:rsidRPr="00853814">
        <w:t>, открытый</w:t>
      </w:r>
      <w:r w:rsidR="00C361E9" w:rsidRPr="00853814">
        <w:t xml:space="preserve"> в Управлении Федерального казначейства по </w:t>
      </w:r>
      <w:r w:rsidR="00692166" w:rsidRPr="00853814">
        <w:t>Мурманской области</w:t>
      </w:r>
      <w:r w:rsidR="00C361E9" w:rsidRPr="00853814">
        <w:t>, для последующего зачисления в доход</w:t>
      </w:r>
      <w:r w:rsidR="00692166" w:rsidRPr="00853814">
        <w:t xml:space="preserve"> городского бюджета</w:t>
      </w:r>
      <w:r w:rsidR="00C361E9" w:rsidRPr="00853814">
        <w:t>.</w:t>
      </w:r>
    </w:p>
    <w:p w:rsidR="004E4EFA" w:rsidRDefault="00172580" w:rsidP="00832B26">
      <w:pPr>
        <w:pStyle w:val="ConsPlusNormal"/>
        <w:ind w:firstLine="540"/>
        <w:jc w:val="both"/>
      </w:pPr>
      <w:r>
        <w:t>3.</w:t>
      </w:r>
      <w:r w:rsidR="00FC63CD">
        <w:t>6</w:t>
      </w:r>
      <w:r w:rsidR="008A1429" w:rsidRPr="00275B00">
        <w:t xml:space="preserve">. </w:t>
      </w:r>
      <w:r w:rsidR="00156735" w:rsidRPr="00275B00">
        <w:t xml:space="preserve">Денежные средства считаются поступившими в доход городского бюджета с </w:t>
      </w:r>
      <w:r>
        <w:t>даты</w:t>
      </w:r>
      <w:r w:rsidR="00156735" w:rsidRPr="00275B00">
        <w:t xml:space="preserve"> их зачисления на единый счет </w:t>
      </w:r>
      <w:r w:rsidR="00FB3039">
        <w:t>городского бюджета</w:t>
      </w:r>
      <w:r w:rsidR="00AB2CE8" w:rsidRPr="00275B00">
        <w:t>.</w:t>
      </w:r>
    </w:p>
    <w:p w:rsidR="0013216C" w:rsidRDefault="00172580" w:rsidP="00832B26">
      <w:pPr>
        <w:pStyle w:val="ConsPlusNormal"/>
        <w:ind w:firstLine="540"/>
        <w:jc w:val="both"/>
      </w:pPr>
      <w:r>
        <w:t>3.</w:t>
      </w:r>
      <w:r w:rsidR="00FC63CD">
        <w:t>7</w:t>
      </w:r>
      <w:r w:rsidR="008A1429" w:rsidRPr="00853814">
        <w:t xml:space="preserve">. </w:t>
      </w:r>
      <w:r w:rsidR="00C361E9" w:rsidRPr="00853814">
        <w:t xml:space="preserve">Полнота и своевременность поступления неналоговых доходов </w:t>
      </w:r>
      <w:r>
        <w:t xml:space="preserve">Управления финансов </w:t>
      </w:r>
      <w:r w:rsidR="00C361E9" w:rsidRPr="00853814">
        <w:t>контролиру</w:t>
      </w:r>
      <w:r w:rsidR="00FB3039">
        <w:t>е</w:t>
      </w:r>
      <w:r w:rsidR="00C361E9" w:rsidRPr="00853814">
        <w:t>тся по</w:t>
      </w:r>
      <w:r w:rsidR="0097635F" w:rsidRPr="00853814">
        <w:t xml:space="preserve"> данным бухгалтерск</w:t>
      </w:r>
      <w:r w:rsidR="00FB3039">
        <w:t>ого</w:t>
      </w:r>
      <w:r w:rsidR="0097635F" w:rsidRPr="00853814">
        <w:t xml:space="preserve"> </w:t>
      </w:r>
      <w:r w:rsidR="00FC63CD">
        <w:t>учёта и отчётности</w:t>
      </w:r>
      <w:r w:rsidR="00880D4F" w:rsidRPr="00853814">
        <w:t>.</w:t>
      </w: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p w:rsidR="00C27441" w:rsidRDefault="00C27441" w:rsidP="00832B26">
      <w:pPr>
        <w:pStyle w:val="ConsPlusNormal"/>
        <w:ind w:firstLine="540"/>
        <w:jc w:val="both"/>
      </w:pPr>
    </w:p>
    <w:sectPr w:rsidR="00C27441" w:rsidSect="00550F63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4F6"/>
    <w:multiLevelType w:val="hybridMultilevel"/>
    <w:tmpl w:val="F774C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637CB"/>
    <w:multiLevelType w:val="multilevel"/>
    <w:tmpl w:val="C45E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C6504C"/>
    <w:multiLevelType w:val="multilevel"/>
    <w:tmpl w:val="D7C89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1E9"/>
    <w:rsid w:val="0000061D"/>
    <w:rsid w:val="00005FCC"/>
    <w:rsid w:val="000503CB"/>
    <w:rsid w:val="00062DEA"/>
    <w:rsid w:val="000933AA"/>
    <w:rsid w:val="000A4F45"/>
    <w:rsid w:val="00102ED7"/>
    <w:rsid w:val="001117EB"/>
    <w:rsid w:val="00115B06"/>
    <w:rsid w:val="0013216C"/>
    <w:rsid w:val="00145D0B"/>
    <w:rsid w:val="00156735"/>
    <w:rsid w:val="0016676F"/>
    <w:rsid w:val="00172580"/>
    <w:rsid w:val="001823D3"/>
    <w:rsid w:val="001C42E2"/>
    <w:rsid w:val="0022272C"/>
    <w:rsid w:val="00235411"/>
    <w:rsid w:val="00256717"/>
    <w:rsid w:val="002670E0"/>
    <w:rsid w:val="00275B00"/>
    <w:rsid w:val="00391031"/>
    <w:rsid w:val="003932D1"/>
    <w:rsid w:val="003F0B54"/>
    <w:rsid w:val="00400B13"/>
    <w:rsid w:val="00486E3A"/>
    <w:rsid w:val="00493BE3"/>
    <w:rsid w:val="0049456B"/>
    <w:rsid w:val="004E4EFA"/>
    <w:rsid w:val="004F5CFD"/>
    <w:rsid w:val="00504872"/>
    <w:rsid w:val="00511CD3"/>
    <w:rsid w:val="00550F63"/>
    <w:rsid w:val="005A0022"/>
    <w:rsid w:val="005A6111"/>
    <w:rsid w:val="005C711E"/>
    <w:rsid w:val="005D15DB"/>
    <w:rsid w:val="005E5320"/>
    <w:rsid w:val="005F5725"/>
    <w:rsid w:val="00604333"/>
    <w:rsid w:val="006177ED"/>
    <w:rsid w:val="00692166"/>
    <w:rsid w:val="00740088"/>
    <w:rsid w:val="00754B5D"/>
    <w:rsid w:val="007F0F7B"/>
    <w:rsid w:val="007F4C93"/>
    <w:rsid w:val="007F6781"/>
    <w:rsid w:val="00826345"/>
    <w:rsid w:val="00832B26"/>
    <w:rsid w:val="008403EC"/>
    <w:rsid w:val="00845D57"/>
    <w:rsid w:val="00853814"/>
    <w:rsid w:val="00853A11"/>
    <w:rsid w:val="00864A5C"/>
    <w:rsid w:val="00880D4F"/>
    <w:rsid w:val="00894634"/>
    <w:rsid w:val="008A1429"/>
    <w:rsid w:val="008A589F"/>
    <w:rsid w:val="008B7E52"/>
    <w:rsid w:val="008C5955"/>
    <w:rsid w:val="008F3055"/>
    <w:rsid w:val="00910BB3"/>
    <w:rsid w:val="00937F69"/>
    <w:rsid w:val="009623C8"/>
    <w:rsid w:val="0097635F"/>
    <w:rsid w:val="009D40E0"/>
    <w:rsid w:val="009E6848"/>
    <w:rsid w:val="009F7362"/>
    <w:rsid w:val="00A429C3"/>
    <w:rsid w:val="00A53320"/>
    <w:rsid w:val="00A63E02"/>
    <w:rsid w:val="00A646DA"/>
    <w:rsid w:val="00A71F6E"/>
    <w:rsid w:val="00AB2CE8"/>
    <w:rsid w:val="00AE2990"/>
    <w:rsid w:val="00AF3453"/>
    <w:rsid w:val="00B0112B"/>
    <w:rsid w:val="00B40A5F"/>
    <w:rsid w:val="00B660D5"/>
    <w:rsid w:val="00B75DD1"/>
    <w:rsid w:val="00B779F4"/>
    <w:rsid w:val="00B85A72"/>
    <w:rsid w:val="00BA7A6E"/>
    <w:rsid w:val="00BF17CE"/>
    <w:rsid w:val="00C137CB"/>
    <w:rsid w:val="00C27441"/>
    <w:rsid w:val="00C32C82"/>
    <w:rsid w:val="00C361E9"/>
    <w:rsid w:val="00C406A5"/>
    <w:rsid w:val="00C82530"/>
    <w:rsid w:val="00C928B3"/>
    <w:rsid w:val="00CF242A"/>
    <w:rsid w:val="00D0446E"/>
    <w:rsid w:val="00DA6628"/>
    <w:rsid w:val="00DE286F"/>
    <w:rsid w:val="00E278C8"/>
    <w:rsid w:val="00E53EBE"/>
    <w:rsid w:val="00E7739B"/>
    <w:rsid w:val="00E77FC4"/>
    <w:rsid w:val="00F12C23"/>
    <w:rsid w:val="00F50870"/>
    <w:rsid w:val="00FA0F2A"/>
    <w:rsid w:val="00FA451C"/>
    <w:rsid w:val="00FB3039"/>
    <w:rsid w:val="00FC0388"/>
    <w:rsid w:val="00FC63CD"/>
    <w:rsid w:val="00FE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E0"/>
  </w:style>
  <w:style w:type="paragraph" w:styleId="1">
    <w:name w:val="heading 1"/>
    <w:basedOn w:val="a"/>
    <w:next w:val="a"/>
    <w:link w:val="10"/>
    <w:qFormat/>
    <w:rsid w:val="00550F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1E9"/>
    <w:rPr>
      <w:b/>
      <w:bCs/>
    </w:rPr>
  </w:style>
  <w:style w:type="paragraph" w:customStyle="1" w:styleId="ConsPlusNormal">
    <w:name w:val="ConsPlusNormal"/>
    <w:rsid w:val="00C36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93BE3"/>
  </w:style>
  <w:style w:type="paragraph" w:styleId="a5">
    <w:name w:val="header"/>
    <w:basedOn w:val="a"/>
    <w:link w:val="a6"/>
    <w:rsid w:val="00A429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429C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53EB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06A5"/>
    <w:rPr>
      <w:color w:val="0000FF"/>
      <w:u w:val="single"/>
    </w:rPr>
  </w:style>
  <w:style w:type="paragraph" w:customStyle="1" w:styleId="ConsPlusTitle">
    <w:name w:val="ConsPlusTitle"/>
    <w:rsid w:val="00145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50F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90633-5E66-476E-904A-C68AC25B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Матченко-СВ</cp:lastModifiedBy>
  <cp:revision>61</cp:revision>
  <cp:lastPrinted>2015-12-17T13:52:00Z</cp:lastPrinted>
  <dcterms:created xsi:type="dcterms:W3CDTF">2015-12-07T13:50:00Z</dcterms:created>
  <dcterms:modified xsi:type="dcterms:W3CDTF">2016-01-28T12:11:00Z</dcterms:modified>
</cp:coreProperties>
</file>