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7521575</wp:posOffset>
                </wp:positionH>
                <wp:positionV relativeFrom="paragraph">
                  <wp:posOffset>23495</wp:posOffset>
                </wp:positionV>
                <wp:extent cx="2066925" cy="63817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76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none"/>
                              </w:rPr>
                              <w:t>Ограничительная пометка</w:t>
                            </w:r>
                          </w:p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92.25pt;margin-top:1.85pt;width:162.7pt;height:50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none"/>
                        </w:rPr>
                        <w:t>Ограничительная пометка</w:t>
                      </w:r>
                    </w:p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Приложение № 3</w:t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Методическим рекомендациям</w:t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(протокол МВК от 07.08.2024 № 2пр-МВК,</w:t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с изменениями от 27.11.2024 № 3пр-МВК)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ОТЧЕТ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 численности работающих и забронированных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граждан, пребывающих в запасе</w:t>
      </w:r>
    </w:p>
    <w:p>
      <w:pPr>
        <w:pStyle w:val="Style37"/>
        <w:bidi w:val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3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"/>
        <w:gridCol w:w="2492"/>
        <w:gridCol w:w="499"/>
        <w:gridCol w:w="547"/>
        <w:gridCol w:w="525"/>
        <w:gridCol w:w="510"/>
        <w:gridCol w:w="1815"/>
        <w:gridCol w:w="1575"/>
        <w:gridCol w:w="975"/>
        <w:gridCol w:w="900"/>
        <w:gridCol w:w="1875"/>
        <w:gridCol w:w="1470"/>
        <w:gridCol w:w="1470"/>
      </w:tblGrid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 xml:space="preserve">Полное (сокращенное) наименование </w:t>
            </w:r>
          </w:p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органа управления (организации)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  <w:eastAsianLayout w:vert="true"/>
              </w:rPr>
              <w:t>ИНН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  <w:eastAsianLayout w:vert="true"/>
              </w:rPr>
              <w:t>КПП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  <w:eastAsianLayout w:vert="true"/>
              </w:rPr>
              <w:t>ОКАТО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  <w:eastAsianLayout w:vert="true"/>
              </w:rPr>
              <w:t>ОКОГУ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Вид основания для бронирования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Реквизиты основания для бронирования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suppressAutoHyphens w:val="false"/>
              <w:bidi w:val="0"/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Норма бронирования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suppressAutoHyphens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 xml:space="preserve">Численность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Военный комиссариат по месту  нахождения органа управления (организации)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Численность граждан, пребывающих в запасе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suppressAutoHyphens w:val="false"/>
              <w:bidi w:val="0"/>
              <w:rPr/>
            </w:pPr>
            <w:r>
              <w:rPr>
                <w:rFonts w:ascii="Liberation Serif" w:hAnsi="Liberation Serif"/>
                <w:b/>
                <w:bCs/>
                <w:spacing w:val="0"/>
                <w:sz w:val="20"/>
                <w:szCs w:val="20"/>
              </w:rPr>
              <w:t>Численность забронированных граждан, пребывающих в запасе</w:t>
            </w:r>
          </w:p>
        </w:tc>
      </w:tr>
      <w:tr>
        <w:trPr/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1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10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pacing w:val="0"/>
                <w:sz w:val="22"/>
                <w:szCs w:val="22"/>
              </w:rPr>
              <w:t>13</w:t>
            </w:r>
          </w:p>
        </w:tc>
      </w:tr>
      <w:tr>
        <w:trPr/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Style37"/>
        <w:bidi w:val="0"/>
        <w:ind w:left="0" w:right="0" w:hanging="0"/>
        <w:jc w:val="center"/>
        <w:rPr/>
      </w:pPr>
      <w:r>
        <w:rPr/>
      </w:r>
    </w:p>
    <w:p>
      <w:pPr>
        <w:pStyle w:val="Style37"/>
        <w:bidi w:val="0"/>
        <w:ind w:left="0" w:right="0" w:hanging="0"/>
        <w:jc w:val="center"/>
        <w:rPr/>
      </w:pPr>
      <w:r>
        <w:rPr/>
      </w:r>
    </w:p>
    <w:p>
      <w:pPr>
        <w:pStyle w:val="Style37"/>
        <w:bidi w:val="0"/>
        <w:ind w:left="0" w:right="0" w:hanging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3"/>
        <w:gridCol w:w="380"/>
        <w:gridCol w:w="4237"/>
        <w:gridCol w:w="430"/>
        <w:gridCol w:w="5047"/>
      </w:tblGrid>
      <w:tr>
        <w:trPr/>
        <w:tc>
          <w:tcPr>
            <w:tcW w:w="5043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0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43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5047" w:type="dxa"/>
            <w:gridSpan w:val="3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047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>Примечание:</w:t>
      </w:r>
      <w:r>
        <w:rPr>
          <w:rFonts w:ascii="Liberation Serif" w:hAnsi="Liberation Serif"/>
          <w:sz w:val="24"/>
          <w:szCs w:val="24"/>
        </w:rPr>
        <w:t xml:space="preserve"> 1. По заполнении настоящий отчет имеет ограничительную пометку «Для служебного пользования» (если не содержит сведений, составляющих государственную тайну).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 В графе 2 указывается полное (сокращенное) наименование органа управления (организации).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 В графе 3 указывается идентификационный номер налогоплательщика органа управления (организации). 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4. В графе 4 указывается код причины и дата постановки на учет органа управления (организации) в налоговом органе. 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5. В графе 5 указывается код органа управления (организации) по Общероссийскому классификатору объектов административно-территориального деления. Для организаций города Апатиты ОКАТО - 47405000.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6. В графе 6 указывается код органа управления (организации) по Общероссийскому классификатору органов государственной власти и управления (при наличии).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7. В графе 7 указывается подпункт пункта 5 Методических рекомендаций, на основании которого орган управления (организация) осуществляет работу по бронированию.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8. В Списке отдельными строками указывают все основания, предусмотренные подпунктами «б» - «д» пункта 5 Методических рекомендаций, которым соответствует организация.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9. В графе 8 указываются: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для органов управления — реквизиты нормативных правовых актов об их образовании (создании);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для организаций, указанных в подпункте «б» пункта 5 Методических рекомендаций, реквизиты актов органов управления об утверждении мобилизационных планов, которыми организациям установлены мобилизационные задания (заказы) и задачи по мобилизационной работе;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для организаций, указанных в подпунктах «в» и «г» пункта 5 Методических рекомендаций — реквизиты государственных контрактов (контрактов) по государственному оборонному заказу;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для организаций, указанных в подпункте «д» пункта 5 Методических рекомендаций, - реквизиты нормативных правовых актов об их образовании (создании).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10. В графе 9 указывается норма бронирования, определенная в соответствии с пунктом 17 Методических рекомендаций.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11. В графе 10 указывается численность, определяемая в соответствии с пунктами 18-22 Методических рекомендаций.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12. В графе 11 указывается наименование военного комиссариата по месту нахождения органа управления (организации).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Для организаций города Апатиты - военный комиссариат городов Кировск и Апатиты Мурманской области.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13. В графе 12 указывается численность граждан, пребывающих в запасе.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14. В графе 13 указывается численность забронированных граждан, пребывающих в запасе.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Настоящий отчет подписывается руководителем организации (лицом, исполняющим его обязанности) и представляется в орган управления (соответствующее министерство или Администрацию города Апатиты) или в вышестоящую организацию по подведомственности.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Сроки и порядок представления настоящего отчета устанавливаются органами государственной власти Мурманской области.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427</TotalTime>
  <Application>LibreOffice/7.5.6.2$Linux_X86_64 LibreOffice_project/50$Build-2</Application>
  <AppVersion>15.0000</AppVersion>
  <Pages>2</Pages>
  <Words>441</Words>
  <Characters>3100</Characters>
  <CharactersWithSpaces>3507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2024-10-15T15:42:37Z</dcterms:created>
  <dc:creator/>
  <dc:description/>
  <dc:language>ru-RU</dc:language>
  <cp:lastModifiedBy/>
  <cp:lastPrinted>2025-06-16T14:19:51Z</cp:lastPrinted>
  <dcterms:modified xsi:type="dcterms:W3CDTF">2025-06-16T14:36:40Z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