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7521575</wp:posOffset>
                </wp:positionH>
                <wp:positionV relativeFrom="paragraph">
                  <wp:posOffset>23495</wp:posOffset>
                </wp:positionV>
                <wp:extent cx="2066925" cy="63817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76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none"/>
                              </w:rPr>
                              <w:t>Ограничительная пометка</w:t>
                            </w:r>
                          </w:p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92.25pt;margin-top:1.85pt;width:162.7pt;height:50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none"/>
                        </w:rPr>
                        <w:t>Ограничительная пометка</w:t>
                      </w:r>
                    </w:p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/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Приложение № 3</w:t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Методическим рекомендациям</w:t>
      </w:r>
    </w:p>
    <w:p>
      <w:pPr>
        <w:pStyle w:val="Style37"/>
        <w:bidi w:val="0"/>
        <w:ind w:left="0" w:right="0" w:hanging="0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(протокол МВК от 07.08.2024 № 2пр-МВК)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/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/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  <w:sz w:val="24"/>
          <w:szCs w:val="24"/>
        </w:rPr>
        <w:t>ОТЧЕТ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 численности работающих и забронированных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граждан, пребывающих в запасе</w:t>
      </w:r>
    </w:p>
    <w:p>
      <w:pPr>
        <w:pStyle w:val="Style37"/>
        <w:bidi w:val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3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2073"/>
        <w:gridCol w:w="538"/>
        <w:gridCol w:w="630"/>
        <w:gridCol w:w="675"/>
        <w:gridCol w:w="675"/>
        <w:gridCol w:w="2332"/>
        <w:gridCol w:w="2331"/>
        <w:gridCol w:w="1411"/>
        <w:gridCol w:w="1589"/>
        <w:gridCol w:w="960"/>
        <w:gridCol w:w="1472"/>
      </w:tblGrid>
      <w:tr>
        <w:trPr/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  <w:t>ИНН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  <w:t>КПП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  <w:t>ОКТМО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  <w:t>ОКОГУ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Категория организации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Реквизиты документа, подтверждающего основание для бронирования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Численность (штатная) трудовых ресурсов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Военный комиссариат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Численность ГПЗ, чел.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07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5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r>
          </w:p>
        </w:tc>
        <w:tc>
          <w:tcPr>
            <w:tcW w:w="6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r>
          </w:p>
        </w:tc>
        <w:tc>
          <w:tcPr>
            <w:tcW w:w="6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r>
          </w:p>
        </w:tc>
        <w:tc>
          <w:tcPr>
            <w:tcW w:w="6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eastAsianLayout w:vert="true"/>
              </w:rPr>
            </w:r>
          </w:p>
        </w:tc>
        <w:tc>
          <w:tcPr>
            <w:tcW w:w="2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58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забронировано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eastAsianLayout w:vert="true"/>
              </w:rPr>
            </w:pPr>
            <w:r>
              <w:rPr>
                <w:rFonts w:ascii="Liberation Serif" w:hAnsi="Liberation Serif"/>
                <w:eastAsianLayout w:vert="true"/>
              </w:rPr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Style37"/>
        <w:bidi w:val="0"/>
        <w:ind w:left="0" w:right="0" w:hanging="0"/>
        <w:jc w:val="center"/>
        <w:rPr/>
      </w:pPr>
      <w:r>
        <w:rPr/>
      </w:r>
    </w:p>
    <w:p>
      <w:pPr>
        <w:pStyle w:val="Style37"/>
        <w:bidi w:val="0"/>
        <w:ind w:left="0" w:right="0" w:hanging="0"/>
        <w:jc w:val="center"/>
        <w:rPr/>
      </w:pPr>
      <w:r>
        <w:rPr/>
      </w:r>
    </w:p>
    <w:p>
      <w:pPr>
        <w:pStyle w:val="Style37"/>
        <w:bidi w:val="0"/>
        <w:ind w:left="0" w:right="0" w:hanging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3"/>
        <w:gridCol w:w="380"/>
        <w:gridCol w:w="4237"/>
        <w:gridCol w:w="430"/>
        <w:gridCol w:w="5047"/>
      </w:tblGrid>
      <w:tr>
        <w:trPr/>
        <w:tc>
          <w:tcPr>
            <w:tcW w:w="5043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0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43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5047" w:type="dxa"/>
            <w:gridSpan w:val="3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047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>Примечание:</w:t>
      </w:r>
      <w:r>
        <w:rPr>
          <w:rFonts w:ascii="Liberation Serif" w:hAnsi="Liberation Serif"/>
          <w:sz w:val="24"/>
          <w:szCs w:val="24"/>
        </w:rPr>
        <w:t xml:space="preserve"> 1. По заполнении настоящий отчет имеет ограничительную пометку «Для служебного пользования» (если не содержит сведений, составляющих государственную тайну).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2. В графе 2 указывается сокращенное наименование организации в соответствии с уставными документами.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 В графе 3 указывается идентификационный номер налогоплательщика (согласно ЕГРЮЛ). 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4. В графе 4 указывается код причины и дата постановки на учет в налоговом органе. Код состоит из 9 знаков.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5. В графе 5 указывается код по Общероссийскому классификатору территорий муниципальных образований. Для организаций города Апатиты ОКТМО - 47705000.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6. В графе 6 указывается код по Общероссийскому классификатору органов государственной власти и управления (при наличии). Код состоит из 7 знаков.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7. В графе 7 указывается категория, которой соответствует организация, согласно приведенных ниже: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организация, имеющая МЗ;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головной исполнитель (исполнитель) ГОЗ по ВВСТ</w:t>
      </w:r>
      <w:r>
        <w:rPr>
          <w:rFonts w:ascii="Liberation Serif" w:hAnsi="Liberation Serif"/>
          <w:i/>
          <w:iCs/>
          <w:sz w:val="24"/>
          <w:szCs w:val="24"/>
        </w:rPr>
        <w:t>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</w:rPr>
        <w:tab/>
      </w:r>
      <w:r>
        <w:rPr>
          <w:rFonts w:ascii="Liberation Serif" w:hAnsi="Liberation Serif"/>
          <w:i w:val="false"/>
          <w:iCs w:val="false"/>
          <w:sz w:val="24"/>
          <w:szCs w:val="24"/>
        </w:rPr>
        <w:t>- головной исполнитель (исполнитель) ГОЗ по КС</w:t>
      </w:r>
      <w:r>
        <w:rPr>
          <w:rFonts w:ascii="Liberation Serif" w:hAnsi="Liberation Serif"/>
          <w:i/>
          <w:iCs/>
          <w:sz w:val="24"/>
          <w:szCs w:val="24"/>
        </w:rPr>
        <w:t>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организация, находящаяся в ведении ФОИВ, в которых законом предусмотрена военная служба.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  <w:u w:val="single"/>
        </w:rPr>
        <w:t>При отнесении организации к нескольким категориям необходимо указывать все имеющиеся у нее категории.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Сокращения, применяемые при заполнении данной графы: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МЗ — мобилизационное задание;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ГОЗ — государственный оборонный заказ;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ВВСТ — вооружение, военная и специальная техника;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КС — капитальное строительство;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ФОИВ — федеральный орган исполнительной власти.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8. В графе 8 указывается вид и реквизиты документа, установившего мобилизационное задание (задачу по мобилизационной работе), либо определившего нахождение организации в ведении ФОИВ, в котором законом предусмотрена военная служба.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9. В графе 9 рекомендуется указывать через дробь имеющуюся штатную численность организации и штатную численность трудовых ресурсов, обеспечивающих выполнение мобилизационных заданий или задач по мобилизационной работе.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10. В графе 10 указывается наименование военного комиссариата, к которому территориально прикреплена организация.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Для организаций города Апатиты - военный комиссариат городов Кировск и Апатиты Мурманской области.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11. В графе 11 указывается имеющаяся численность граждан, пребывающих в запасе.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12. В графе 12 указывается численность забронированных граждан, пребывающих в запасе.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13. Настоящий отчет подписывается руководителем организации (лицом, исполняющим его обязанности) и представляется в орган управления (соответствующее министерство или Администрацию города Апатиты) или в вышестоящую организацию по подведомственности.</w:t>
      </w:r>
    </w:p>
    <w:p>
      <w:pPr>
        <w:pStyle w:val="Normal"/>
        <w:bidi w:val="0"/>
        <w:spacing w:lineRule="auto" w:line="240"/>
        <w:ind w:left="1417" w:right="0" w:hanging="147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Сроки и порядок представления настоящего отчета устанавливаются органами государственной власти Мурманской области.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LibreOffice/7.5.6.2$Linux_X86_64 LibreOffice_project/50$Build-2</Application>
  <AppVersion>15.0000</AppVersion>
  <Pages>2</Pages>
  <Words>403</Words>
  <Characters>2790</Characters>
  <CharactersWithSpaces>3160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2024-10-15T15:42:37Z</dcterms:created>
  <dc:creator/>
  <dc:description/>
  <dc:language>ru-RU</dc:language>
  <cp:lastModifiedBy/>
  <dcterms:modified xsi:type="dcterms:W3CDTF">2024-10-16T14:21:05Z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