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700"/>
        <w:gridCol w:w="5112"/>
        <w:gridCol w:w="1878"/>
        <w:gridCol w:w="1666"/>
      </w:tblGrid>
      <w:tr w:rsidR="00114C6E" w:rsidRPr="00DF04C4" w:rsidTr="00EC6545">
        <w:trPr>
          <w:trHeight w:val="58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C6E" w:rsidRPr="00DF04C4" w:rsidRDefault="00114C6E" w:rsidP="00EC6545">
            <w:pPr>
              <w:jc w:val="center"/>
              <w:rPr>
                <w:b/>
                <w:bCs/>
              </w:rPr>
            </w:pPr>
            <w:r w:rsidRPr="00DF04C4">
              <w:rPr>
                <w:b/>
                <w:bCs/>
              </w:rPr>
              <w:t>Муниципальные контракты по дорогам и тротуарам в 2023 году</w:t>
            </w:r>
          </w:p>
        </w:tc>
      </w:tr>
      <w:tr w:rsidR="00114C6E" w:rsidRPr="00DF04C4" w:rsidTr="00EC6545">
        <w:trPr>
          <w:trHeight w:val="2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6E" w:rsidRPr="00DF04C4" w:rsidRDefault="00114C6E" w:rsidP="00EC65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6E" w:rsidRPr="00DF04C4" w:rsidRDefault="00114C6E" w:rsidP="00EC6545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6E" w:rsidRPr="00DF04C4" w:rsidRDefault="00114C6E" w:rsidP="00EC654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C6E" w:rsidRPr="00DF04C4" w:rsidRDefault="00114C6E" w:rsidP="00EC6545">
            <w:pPr>
              <w:rPr>
                <w:sz w:val="20"/>
                <w:szCs w:val="20"/>
              </w:rPr>
            </w:pPr>
          </w:p>
        </w:tc>
      </w:tr>
      <w:tr w:rsidR="00114C6E" w:rsidRPr="00DF04C4" w:rsidTr="00EC6545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114C6E" w:rsidRPr="00DF04C4" w:rsidRDefault="00114C6E" w:rsidP="00EC6545">
            <w:pPr>
              <w:jc w:val="center"/>
            </w:pPr>
            <w:r w:rsidRPr="00DF04C4">
              <w:t xml:space="preserve">№ </w:t>
            </w:r>
            <w:proofErr w:type="gramStart"/>
            <w:r w:rsidRPr="00DF04C4">
              <w:t>п</w:t>
            </w:r>
            <w:proofErr w:type="gramEnd"/>
            <w:r w:rsidRPr="00DF04C4">
              <w:t>/п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4C6E" w:rsidRPr="00DF04C4" w:rsidRDefault="00114C6E" w:rsidP="00EC6545">
            <w:pPr>
              <w:jc w:val="center"/>
            </w:pPr>
            <w:r w:rsidRPr="00DF04C4">
              <w:t>Наименование МК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4C6E" w:rsidRPr="00DF04C4" w:rsidRDefault="00114C6E" w:rsidP="00EC6545">
            <w:pPr>
              <w:jc w:val="center"/>
            </w:pPr>
            <w:r w:rsidRPr="00DF04C4">
              <w:t xml:space="preserve">Подрядчик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4C6E" w:rsidRPr="00DF04C4" w:rsidRDefault="00114C6E" w:rsidP="00EC6545">
            <w:pPr>
              <w:jc w:val="center"/>
            </w:pPr>
            <w:r w:rsidRPr="00DF04C4">
              <w:t>Срок выполнения работ</w:t>
            </w:r>
          </w:p>
        </w:tc>
      </w:tr>
      <w:tr w:rsidR="00114C6E" w:rsidRPr="00DF04C4" w:rsidTr="00EC6545">
        <w:trPr>
          <w:trHeight w:val="16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C6E" w:rsidRPr="00DF04C4" w:rsidRDefault="00114C6E" w:rsidP="00EC6545">
            <w:pPr>
              <w:jc w:val="center"/>
              <w:rPr>
                <w:sz w:val="22"/>
                <w:szCs w:val="22"/>
              </w:rPr>
            </w:pPr>
            <w:r w:rsidRPr="00DF04C4">
              <w:rPr>
                <w:sz w:val="22"/>
                <w:szCs w:val="22"/>
              </w:rPr>
              <w:t>1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6E" w:rsidRPr="00DF04C4" w:rsidRDefault="00114C6E" w:rsidP="00EC6545">
            <w:pPr>
              <w:rPr>
                <w:color w:val="000000"/>
              </w:rPr>
            </w:pPr>
            <w:r w:rsidRPr="00DF04C4">
              <w:rPr>
                <w:color w:val="000000"/>
              </w:rPr>
              <w:t xml:space="preserve">Выполнение работ по ремонту асфальтобетонного покрытия проезжих частей участков автомобильных дорог (по ул. </w:t>
            </w:r>
            <w:proofErr w:type="gramStart"/>
            <w:r w:rsidRPr="00DF04C4">
              <w:rPr>
                <w:color w:val="000000"/>
              </w:rPr>
              <w:t>Трудовая</w:t>
            </w:r>
            <w:proofErr w:type="gramEnd"/>
            <w:r w:rsidRPr="00DF04C4">
              <w:rPr>
                <w:color w:val="000000"/>
              </w:rPr>
              <w:t xml:space="preserve"> (от поворота на "Тик-Губу" до ж/д вокзала)), пл. Геологов, ул. Ферсмана (от пл. Геологов до транспортной развязки улиц Строителей-Ферсмана-Козлова)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6E" w:rsidRPr="00DF04C4" w:rsidRDefault="00114C6E" w:rsidP="00EC6545">
            <w:pPr>
              <w:jc w:val="center"/>
            </w:pPr>
            <w:r w:rsidRPr="00DF04C4">
              <w:t>ООО "КДУ"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C6E" w:rsidRPr="00DF04C4" w:rsidRDefault="00114C6E" w:rsidP="00EC6545">
            <w:pPr>
              <w:jc w:val="center"/>
            </w:pPr>
            <w:r w:rsidRPr="00DF04C4">
              <w:t>31.08.23</w:t>
            </w:r>
          </w:p>
        </w:tc>
      </w:tr>
      <w:tr w:rsidR="00114C6E" w:rsidRPr="00DF04C4" w:rsidTr="00EC6545">
        <w:trPr>
          <w:trHeight w:val="81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4C6E" w:rsidRPr="00DF04C4" w:rsidRDefault="00114C6E" w:rsidP="00EC6545">
            <w:pPr>
              <w:jc w:val="center"/>
              <w:rPr>
                <w:sz w:val="22"/>
                <w:szCs w:val="22"/>
              </w:rPr>
            </w:pPr>
            <w:r w:rsidRPr="00DF04C4">
              <w:rPr>
                <w:sz w:val="22"/>
                <w:szCs w:val="22"/>
              </w:rPr>
              <w:t>2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6E" w:rsidRPr="00DF04C4" w:rsidRDefault="00114C6E" w:rsidP="00EC6545">
            <w:pPr>
              <w:rPr>
                <w:color w:val="000000"/>
              </w:rPr>
            </w:pPr>
            <w:r w:rsidRPr="00DF04C4">
              <w:rPr>
                <w:color w:val="000000"/>
              </w:rPr>
              <w:t xml:space="preserve">Выполнение работ по ремонту участков асфальтобетонного покрытия проезжей части автомобильной дороги по ул. </w:t>
            </w:r>
            <w:proofErr w:type="gramStart"/>
            <w:r w:rsidRPr="00DF04C4">
              <w:rPr>
                <w:color w:val="000000"/>
              </w:rPr>
              <w:t>Лесная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6E" w:rsidRPr="00DF04C4" w:rsidRDefault="00114C6E" w:rsidP="00EC6545">
            <w:pPr>
              <w:jc w:val="center"/>
            </w:pPr>
            <w:r w:rsidRPr="00DF04C4">
              <w:t xml:space="preserve">ИП </w:t>
            </w:r>
            <w:proofErr w:type="spellStart"/>
            <w:r w:rsidRPr="00DF04C4">
              <w:t>Рудяга</w:t>
            </w:r>
            <w:proofErr w:type="spellEnd"/>
            <w:r w:rsidRPr="00DF04C4">
              <w:t xml:space="preserve"> Н.Г.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C6E" w:rsidRPr="00DF04C4" w:rsidRDefault="00114C6E" w:rsidP="00EC6545">
            <w:pPr>
              <w:jc w:val="center"/>
            </w:pPr>
            <w:r w:rsidRPr="00DF04C4">
              <w:t>03.07.23</w:t>
            </w:r>
          </w:p>
        </w:tc>
      </w:tr>
      <w:tr w:rsidR="00114C6E" w:rsidRPr="00DF04C4" w:rsidTr="00EC6545">
        <w:trPr>
          <w:trHeight w:val="510"/>
        </w:trPr>
        <w:tc>
          <w:tcPr>
            <w:tcW w:w="70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C6E" w:rsidRPr="00DF04C4" w:rsidRDefault="00114C6E" w:rsidP="00EC6545">
            <w:pPr>
              <w:jc w:val="center"/>
              <w:rPr>
                <w:sz w:val="22"/>
                <w:szCs w:val="22"/>
              </w:rPr>
            </w:pPr>
            <w:r w:rsidRPr="00DF04C4">
              <w:rPr>
                <w:sz w:val="22"/>
                <w:szCs w:val="22"/>
              </w:rPr>
              <w:t>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6E" w:rsidRPr="00DF04C4" w:rsidRDefault="00114C6E" w:rsidP="00EC6545">
            <w:pPr>
              <w:rPr>
                <w:color w:val="000000"/>
              </w:rPr>
            </w:pPr>
            <w:r w:rsidRPr="00DF04C4">
              <w:rPr>
                <w:color w:val="000000"/>
              </w:rPr>
              <w:t>Выполнение работ по ремонту участка тротуара по ул. Ферсмана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6E" w:rsidRPr="00DF04C4" w:rsidRDefault="00114C6E" w:rsidP="00EC6545">
            <w:pPr>
              <w:jc w:val="center"/>
            </w:pPr>
            <w:r w:rsidRPr="00DF04C4">
              <w:t xml:space="preserve">ИП </w:t>
            </w:r>
            <w:proofErr w:type="spellStart"/>
            <w:r w:rsidRPr="00DF04C4">
              <w:t>Варданян</w:t>
            </w:r>
            <w:proofErr w:type="spellEnd"/>
            <w:r w:rsidRPr="00DF04C4">
              <w:t xml:space="preserve"> Р.В.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C6E" w:rsidRPr="00DF04C4" w:rsidRDefault="00114C6E" w:rsidP="00EC6545">
            <w:pPr>
              <w:jc w:val="center"/>
            </w:pPr>
            <w:r w:rsidRPr="00DF04C4">
              <w:t>30.08.23</w:t>
            </w:r>
          </w:p>
        </w:tc>
      </w:tr>
      <w:tr w:rsidR="00114C6E" w:rsidRPr="00DF04C4" w:rsidTr="00EC6545">
        <w:trPr>
          <w:trHeight w:val="22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6E" w:rsidRPr="00DF04C4" w:rsidRDefault="00114C6E" w:rsidP="00EC6545">
            <w:pPr>
              <w:jc w:val="center"/>
              <w:rPr>
                <w:sz w:val="22"/>
                <w:szCs w:val="22"/>
              </w:rPr>
            </w:pPr>
            <w:r w:rsidRPr="00DF04C4">
              <w:rPr>
                <w:sz w:val="22"/>
                <w:szCs w:val="22"/>
              </w:rPr>
              <w:t>4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6E" w:rsidRPr="00DF04C4" w:rsidRDefault="00114C6E" w:rsidP="00EC6545">
            <w:pPr>
              <w:rPr>
                <w:color w:val="000000"/>
              </w:rPr>
            </w:pPr>
            <w:proofErr w:type="gramStart"/>
            <w:r w:rsidRPr="00DF04C4">
              <w:rPr>
                <w:color w:val="000000"/>
              </w:rPr>
              <w:t xml:space="preserve">Выполнение работ по ремонту участков автомобильных дорог, тротуаров (остановочный пункт «Хлебозавод», ул. Победы, ул. Космонавтов (район ул. Дзержинского от д. 35 до д. 46), ул. </w:t>
            </w:r>
            <w:proofErr w:type="spellStart"/>
            <w:r w:rsidRPr="00DF04C4">
              <w:rPr>
                <w:color w:val="000000"/>
              </w:rPr>
              <w:t>Бредова</w:t>
            </w:r>
            <w:proofErr w:type="spellEnd"/>
            <w:r w:rsidRPr="00DF04C4">
              <w:rPr>
                <w:color w:val="000000"/>
              </w:rPr>
              <w:t xml:space="preserve"> (в районе д. 4), ул. Ферсмана (в районе д. 39), ул. </w:t>
            </w:r>
            <w:proofErr w:type="spellStart"/>
            <w:r w:rsidRPr="00DF04C4">
              <w:rPr>
                <w:color w:val="000000"/>
              </w:rPr>
              <w:t>Бредова</w:t>
            </w:r>
            <w:proofErr w:type="spellEnd"/>
            <w:r w:rsidRPr="00DF04C4">
              <w:rPr>
                <w:color w:val="000000"/>
              </w:rPr>
              <w:t xml:space="preserve"> (в районе д. 36), ул. Фестивальная (от д. 13 до д. 15), межквартальный проезд пр.</w:t>
            </w:r>
            <w:proofErr w:type="gramEnd"/>
            <w:r w:rsidRPr="00DF04C4">
              <w:rPr>
                <w:color w:val="000000"/>
              </w:rPr>
              <w:t xml:space="preserve"> Сидоренко – пр. Сидоренко 8, ул. Северная (от д.13 до д. 19)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6E" w:rsidRPr="00DF04C4" w:rsidRDefault="00114C6E" w:rsidP="00EC6545">
            <w:pPr>
              <w:jc w:val="center"/>
            </w:pPr>
            <w:r w:rsidRPr="00DF04C4">
              <w:t xml:space="preserve">ИП </w:t>
            </w:r>
            <w:proofErr w:type="spellStart"/>
            <w:r w:rsidRPr="00DF04C4">
              <w:t>Рудяга</w:t>
            </w:r>
            <w:proofErr w:type="spellEnd"/>
            <w:r w:rsidRPr="00DF04C4">
              <w:t xml:space="preserve"> Н.Г.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C6E" w:rsidRPr="00DF04C4" w:rsidRDefault="00114C6E" w:rsidP="00EC6545">
            <w:pPr>
              <w:jc w:val="center"/>
            </w:pPr>
            <w:r w:rsidRPr="00DF04C4">
              <w:t>31.08.23</w:t>
            </w:r>
          </w:p>
        </w:tc>
      </w:tr>
    </w:tbl>
    <w:p w:rsidR="000E40AF" w:rsidRDefault="000E40AF">
      <w:bookmarkStart w:id="0" w:name="_GoBack"/>
      <w:bookmarkEnd w:id="0"/>
    </w:p>
    <w:sectPr w:rsidR="000E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6E"/>
    <w:rsid w:val="000E40AF"/>
    <w:rsid w:val="0011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Екатерина Николаевна</dc:creator>
  <cp:lastModifiedBy>Зайцева Екатерина Николаевна</cp:lastModifiedBy>
  <cp:revision>1</cp:revision>
  <dcterms:created xsi:type="dcterms:W3CDTF">2025-03-25T12:06:00Z</dcterms:created>
  <dcterms:modified xsi:type="dcterms:W3CDTF">2025-03-25T12:06:00Z</dcterms:modified>
</cp:coreProperties>
</file>